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u w:val="none"/>
        </w:rPr>
        <w:t>度</w:t>
      </w:r>
      <w:r>
        <w:rPr>
          <w:rFonts w:hint="eastAsia" w:ascii="方正小标宋简体" w:hAnsi="方正小标宋简体" w:eastAsia="方正小标宋简体" w:cs="方正小标宋简体"/>
          <w:b w:val="0"/>
          <w:bCs w:val="0"/>
          <w:sz w:val="44"/>
          <w:szCs w:val="44"/>
          <w:u w:val="none"/>
          <w:lang w:eastAsia="zh-CN"/>
        </w:rPr>
        <w:t>锡林郭勒盟科学技术协会（</w:t>
      </w:r>
      <w:r>
        <w:rPr>
          <w:rFonts w:hint="eastAsia" w:ascii="方正小标宋简体" w:hAnsi="方正小标宋简体" w:eastAsia="方正小标宋简体" w:cs="方正小标宋简体"/>
          <w:b w:val="0"/>
          <w:bCs w:val="0"/>
          <w:sz w:val="44"/>
          <w:szCs w:val="44"/>
          <w:u w:val="none"/>
        </w:rPr>
        <w:t>部门</w:t>
      </w:r>
      <w:r>
        <w:rPr>
          <w:rFonts w:hint="eastAsia" w:ascii="方正小标宋简体" w:hAnsi="方正小标宋简体" w:eastAsia="方正小标宋简体" w:cs="方正小标宋简体"/>
          <w:b w:val="0"/>
          <w:bCs w:val="0"/>
          <w:sz w:val="44"/>
          <w:szCs w:val="44"/>
          <w:u w:val="none"/>
          <w:lang w:eastAsia="zh-CN"/>
        </w:rPr>
        <w:t>）</w:t>
      </w:r>
      <w:r>
        <w:rPr>
          <w:rFonts w:hint="eastAsia" w:ascii="方正小标宋简体" w:hAnsi="方正小标宋简体" w:eastAsia="方正小标宋简体" w:cs="方正小标宋简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2</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25</w:t>
      </w:r>
      <w:bookmarkStart w:id="0" w:name="_GoBack"/>
      <w:bookmarkEnd w:id="0"/>
      <w:r>
        <w:rPr>
          <w:rFonts w:hint="eastAsia" w:ascii="黑体" w:hAnsi="黑体" w:eastAsia="黑体" w:cs="黑体"/>
          <w:sz w:val="32"/>
          <w:szCs w:val="32"/>
          <w:u w:val="single"/>
        </w:rPr>
        <w:t xml:space="preserve"> 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 xml:space="preserve"> 15</w:t>
      </w:r>
      <w:r>
        <w:rPr>
          <w:rFonts w:ascii="黑体" w:hAnsi="黑体" w:eastAsia="黑体" w:cs="黑体"/>
          <w:sz w:val="32"/>
          <w:szCs w:val="32"/>
          <w:u w:val="singl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部门概况</w:t>
      </w:r>
    </w:p>
    <w:p>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二、部门机构设置及预算单位构成情况</w:t>
      </w:r>
    </w:p>
    <w:p>
      <w:pPr>
        <w:pStyle w:val="10"/>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年度部门主要工作任务及目标</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年度部门预算表</w:t>
      </w:r>
    </w:p>
    <w:p>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pageBreakBefore w:val="0"/>
        <w:kinsoku/>
        <w:wordWrap/>
        <w:overflowPunct/>
        <w:topLinePunct w:val="0"/>
        <w:bidi w:val="0"/>
        <w:spacing w:after="0" w:line="600" w:lineRule="exact"/>
        <w:rPr>
          <w:rFonts w:hint="eastAsia" w:ascii="仿宋" w:hAnsi="仿宋" w:eastAsia="仿宋" w:cs="仿宋"/>
          <w:spacing w:val="-16"/>
          <w:w w:val="95"/>
          <w:sz w:val="32"/>
          <w:szCs w:val="32"/>
        </w:rPr>
      </w:pPr>
      <w:r>
        <w:rPr>
          <w:rFonts w:hint="eastAsia" w:ascii="仿宋" w:hAnsi="仿宋" w:eastAsia="仿宋" w:cs="仿宋"/>
          <w:spacing w:val="-16"/>
          <w:w w:val="95"/>
          <w:sz w:val="32"/>
          <w:szCs w:val="32"/>
        </w:rPr>
        <w:t>八、政府性基金预算支出表</w:t>
      </w:r>
    </w:p>
    <w:p>
      <w:pPr>
        <w:pStyle w:val="10"/>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九、国有资本经营预算支出表</w:t>
      </w:r>
    </w:p>
    <w:p>
      <w:pPr>
        <w:pStyle w:val="10"/>
        <w:pageBreakBefore w:val="0"/>
        <w:kinsoku/>
        <w:wordWrap/>
        <w:overflowPunct/>
        <w:topLinePunct w:val="0"/>
        <w:bidi w:val="0"/>
        <w:spacing w:after="0" w:line="600" w:lineRule="exact"/>
        <w:rPr>
          <w:rFonts w:hint="default" w:ascii="仿宋" w:hAnsi="仿宋" w:eastAsia="仿宋" w:cs="仿宋"/>
          <w:w w:val="95"/>
          <w:sz w:val="32"/>
          <w:szCs w:val="32"/>
        </w:rPr>
      </w:pPr>
      <w:r>
        <w:rPr>
          <w:rFonts w:hint="eastAsia" w:ascii="仿宋" w:hAnsi="仿宋" w:eastAsia="仿宋" w:cs="仿宋"/>
          <w:w w:val="95"/>
          <w:sz w:val="32"/>
          <w:szCs w:val="32"/>
          <w:lang w:val="en-US" w:eastAsia="zh-CN"/>
        </w:rPr>
        <w:t>十、</w:t>
      </w:r>
      <w:r>
        <w:rPr>
          <w:rFonts w:hint="default" w:ascii="仿宋" w:hAnsi="仿宋" w:eastAsia="仿宋" w:cs="仿宋"/>
          <w:w w:val="95"/>
          <w:sz w:val="32"/>
          <w:szCs w:val="32"/>
        </w:rPr>
        <w:t>项目支出表</w:t>
      </w:r>
    </w:p>
    <w:p>
      <w:pPr>
        <w:pStyle w:val="10"/>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十一、基本支出预算明细表</w:t>
      </w:r>
    </w:p>
    <w:p>
      <w:pPr>
        <w:pStyle w:val="10"/>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十二、项目支出预算明细表</w:t>
      </w:r>
    </w:p>
    <w:p>
      <w:pPr>
        <w:pStyle w:val="10"/>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十三、转移支付项目情况表</w:t>
      </w:r>
    </w:p>
    <w:p>
      <w:pPr>
        <w:pStyle w:val="10"/>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十四、专项资金分配情况表</w:t>
      </w:r>
    </w:p>
    <w:p>
      <w:pPr>
        <w:pStyle w:val="10"/>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十五、项目绩效目标表</w:t>
      </w:r>
    </w:p>
    <w:p>
      <w:pPr>
        <w:pStyle w:val="10"/>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十六、非税征收预期表</w:t>
      </w:r>
    </w:p>
    <w:p>
      <w:pPr>
        <w:pStyle w:val="10"/>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十七、新增资产配置预算表</w:t>
      </w:r>
    </w:p>
    <w:p>
      <w:pPr>
        <w:pStyle w:val="10"/>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十八、政府采购预算表</w:t>
      </w:r>
    </w:p>
    <w:p>
      <w:pPr>
        <w:pStyle w:val="10"/>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十九、政府购买服务预算表</w:t>
      </w:r>
    </w:p>
    <w:p>
      <w:pPr>
        <w:pStyle w:val="10"/>
        <w:pageBreakBefore w:val="0"/>
        <w:kinsoku/>
        <w:wordWrap/>
        <w:overflowPunct/>
        <w:topLinePunct w:val="0"/>
        <w:bidi w:val="0"/>
        <w:spacing w:after="0" w:line="600" w:lineRule="exact"/>
        <w:rPr>
          <w:rFonts w:hint="default" w:ascii="仿宋" w:hAnsi="仿宋" w:eastAsia="仿宋" w:cs="仿宋"/>
          <w:w w:val="95"/>
          <w:sz w:val="32"/>
          <w:szCs w:val="32"/>
          <w:lang w:val="en-US" w:eastAsia="zh-CN"/>
        </w:rPr>
        <w:sectPr>
          <w:headerReference r:id="rId3" w:type="default"/>
          <w:footerReference r:id="rId4" w:type="default"/>
          <w:pgSz w:w="11910" w:h="16840"/>
          <w:pgMar w:top="1582" w:right="1680" w:bottom="278" w:left="1640" w:header="720" w:footer="720" w:gutter="0"/>
          <w:pgNumType w:fmt="numberInDash"/>
          <w:cols w:space="0" w:num="1"/>
        </w:sectPr>
      </w:pPr>
      <w:r>
        <w:rPr>
          <w:rFonts w:hint="eastAsia" w:ascii="仿宋" w:hAnsi="仿宋" w:eastAsia="仿宋" w:cs="仿宋"/>
          <w:w w:val="95"/>
          <w:sz w:val="32"/>
          <w:szCs w:val="32"/>
          <w:lang w:val="en-US" w:eastAsia="zh-CN"/>
        </w:rPr>
        <w:t>二十、单位基本情况表</w:t>
      </w:r>
    </w:p>
    <w:p>
      <w:pPr>
        <w:pStyle w:val="7"/>
        <w:pageBreakBefore w:val="0"/>
        <w:tabs>
          <w:tab w:val="left" w:pos="4392"/>
        </w:tabs>
        <w:kinsoku/>
        <w:wordWrap/>
        <w:overflowPunct/>
        <w:topLinePunct w:val="0"/>
        <w:autoSpaceDE/>
        <w:autoSpaceDN/>
        <w:bidi w:val="0"/>
        <w:adjustRightInd/>
        <w:spacing w:before="0" w:after="0" w:line="360" w:lineRule="auto"/>
        <w:ind w:left="0" w:leftChars="0" w:right="0" w:firstLine="720" w:firstLineChars="20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部门概况</w:t>
      </w:r>
    </w:p>
    <w:p>
      <w:pPr>
        <w:keepNext w:val="0"/>
        <w:keepLines w:val="0"/>
        <w:pageBreakBefore w:val="0"/>
        <w:numPr>
          <w:ilvl w:val="0"/>
          <w:numId w:val="2"/>
        </w:numPr>
        <w:kinsoku/>
        <w:wordWrap/>
        <w:overflowPunct/>
        <w:topLinePunct w:val="0"/>
        <w:autoSpaceDE/>
        <w:autoSpaceDN/>
        <w:bidi w:val="0"/>
        <w:adjustRightInd/>
        <w:spacing w:line="360" w:lineRule="auto"/>
        <w:ind w:left="0" w:leftChars="0" w:right="0" w:firstLine="640" w:firstLineChars="200"/>
        <w:textAlignment w:val="auto"/>
        <w:outlineLvl w:val="0"/>
        <w:rPr>
          <w:rFonts w:hint="eastAsia" w:ascii="方正仿宋_GB2312" w:hAnsi="方正仿宋_GB2312" w:eastAsia="方正仿宋_GB2312" w:cs="方正仿宋_GB2312"/>
          <w:b w:val="0"/>
          <w:bCs w:val="0"/>
          <w:sz w:val="32"/>
          <w:szCs w:val="36"/>
        </w:rPr>
      </w:pPr>
      <w:r>
        <w:rPr>
          <w:rFonts w:hint="eastAsia" w:ascii="方正仿宋_GB2312" w:hAnsi="方正仿宋_GB2312" w:eastAsia="方正仿宋_GB2312" w:cs="方正仿宋_GB2312"/>
          <w:b w:val="0"/>
          <w:bCs w:val="0"/>
          <w:sz w:val="32"/>
          <w:szCs w:val="36"/>
        </w:rPr>
        <w:t>主要职能职责</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（一）部门</w:t>
      </w:r>
      <w:r>
        <w:rPr>
          <w:rFonts w:hint="eastAsia" w:ascii="方正仿宋_GB2312" w:hAnsi="方正仿宋_GB2312" w:eastAsia="方正仿宋_GB2312" w:cs="方正仿宋_GB2312"/>
          <w:sz w:val="32"/>
          <w:szCs w:val="32"/>
          <w:lang w:eastAsia="zh-CN"/>
        </w:rPr>
        <w:t>所属单位</w:t>
      </w:r>
      <w:r>
        <w:rPr>
          <w:rFonts w:hint="eastAsia" w:ascii="方正仿宋_GB2312" w:hAnsi="方正仿宋_GB2312" w:eastAsia="方正仿宋_GB2312" w:cs="方正仿宋_GB2312"/>
          <w:sz w:val="32"/>
          <w:szCs w:val="32"/>
        </w:rPr>
        <w:t>职能</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锡林郭勒盟科学技术协会是党和政府联系科学技术工作者的桥梁和纽带，是中共锡林郭勒盟委员会领导的人民团体，是全盟科学技术工作者的群众组织。</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（二）部门主要职责</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1、贯彻落实党的理论方针政策以及自治区党委、盟委决策部署，密切联系科学技术工作者，反映科学技术工作者的建议、意见、和诉求，为盟委、行署科学决策做好服务。</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2、组织开展科普活动,推动全盟全民科学素质行动计划，弘扬科学精神，普及科学知识，推广先进技术、传播科学思想和科学方法，捍卫科学尊严，为提高全民科学素质服务。实施工作。</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3、负责组织开展学术交流。发展与国内外科技组织、科技社团和科技界人士的友好交往，推荐表彰优秀科技工作者，宣传优秀科学技术工作者，维护科学技术工作者的合法权益，为科学技术工作者做好服务。</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4、接受上级和有关部门的委托，组织开展专项调查和承担科技项目的评估和鉴定。推动学会有序承接政府转移职能工作。</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5、负责组织科学技术工作者参与全盟地方性科学技术政策的制定。参与全盟经济社会发展的决策论证，提供科学依据，为创新驱动发展做好服务。</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6、负责全盟科协系统深化改革工作，指导全盟各级学会（协会）改革治理工作，指导旗县市（区）科协深改工作和业务工作。</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7、完成盟委、行署交办的其他任务。</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8、牢牢把握铸牢中华民族共同体意识工作主线，将之贯穿于科学普及以及自身建设等全过程各方面。</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9、在履行职责过程中统筹发展和安全，有效防范化解各类风险挑战，实现高质量发展和高水平安全的良性互动。</w:t>
      </w:r>
    </w:p>
    <w:p>
      <w:pPr>
        <w:pageBreakBefore w:val="0"/>
        <w:kinsoku/>
        <w:wordWrap/>
        <w:overflowPunct/>
        <w:topLinePunct w:val="0"/>
        <w:autoSpaceDE/>
        <w:autoSpaceDN/>
        <w:bidi w:val="0"/>
        <w:adjustRightInd/>
        <w:spacing w:line="360" w:lineRule="auto"/>
        <w:ind w:left="0" w:leftChars="0" w:right="0" w:firstLine="640" w:firstLineChars="200"/>
        <w:textAlignment w:val="auto"/>
        <w:outlineLvl w:val="0"/>
        <w:rPr>
          <w:rFonts w:eastAsia="黑体" w:cs="黑体"/>
          <w:b w:val="0"/>
          <w:bCs w:val="0"/>
          <w:sz w:val="32"/>
          <w:szCs w:val="36"/>
        </w:rPr>
      </w:pPr>
      <w:r>
        <w:rPr>
          <w:rFonts w:hint="eastAsia" w:eastAsia="黑体" w:cs="黑体"/>
          <w:b w:val="0"/>
          <w:bCs w:val="0"/>
          <w:sz w:val="32"/>
          <w:szCs w:val="36"/>
        </w:rPr>
        <w:t>二、部门机构设置及预算单位构成情况</w:t>
      </w:r>
    </w:p>
    <w:p>
      <w:pPr>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从预算单位构成看，锡林郭勒盟科学技术协会所属单位预算包括：本级单位预算。</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锡林郭勒盟科学技术协会</w:t>
      </w:r>
      <w:r>
        <w:rPr>
          <w:rFonts w:hint="eastAsia" w:ascii="仿宋_GB2312" w:hAnsi="仿宋_GB2312" w:eastAsia="仿宋_GB2312" w:cs="仿宋_GB2312"/>
          <w:sz w:val="32"/>
          <w:szCs w:val="32"/>
          <w:lang w:eastAsia="zh-CN"/>
        </w:rPr>
        <w:t>所属单位</w:t>
      </w:r>
      <w:r>
        <w:rPr>
          <w:rFonts w:hint="eastAsia" w:ascii="仿宋_GB2312" w:hAnsi="仿宋_GB2312" w:eastAsia="仿宋_GB2312" w:cs="仿宋_GB2312"/>
          <w:sz w:val="32"/>
          <w:szCs w:val="32"/>
        </w:rPr>
        <w:t>机构及人员基本情况</w:t>
      </w:r>
    </w:p>
    <w:p>
      <w:pPr>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部门及下设独立预算单位共有2家，其中：财政拨款的行政单位0家，参照公务员法管理的事业单位为1家，公益一类事业单位1家，公益二类事业单位0家。</w:t>
      </w:r>
    </w:p>
    <w:p>
      <w:pPr>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人员基本情况，编制、实有、离退休等。</w:t>
      </w:r>
    </w:p>
    <w:p>
      <w:pPr>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1、锡林郭勒盟科学技术协会核定参照公务员法管理事业编制12名。2023年本级单位实有人员13名，其中参照公务员管理11名，工勤2名，退休17名。</w:t>
      </w:r>
    </w:p>
    <w:p>
      <w:pPr>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2、领导班子：主席 1人、副主席2人。</w:t>
      </w:r>
    </w:p>
    <w:p>
      <w:pPr>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3、内设机构3个：办公室、科学技术普及部、学会工作部。</w:t>
      </w:r>
    </w:p>
    <w:p>
      <w:pPr>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kern w:val="2"/>
          <w:sz w:val="32"/>
          <w:szCs w:val="32"/>
          <w:lang w:val="en-US" w:eastAsia="zh-CN"/>
        </w:rPr>
        <w:t>4、所属二级单位锡林郭勒盟科技教育和创新服务中心核定事业编制7名。核定科级领导职数2名(1正1副)。现本单位实有人员7名，事业编制6名，工勤人员1名，无退休人员。</w:t>
      </w:r>
      <w:r>
        <w:rPr>
          <w:rFonts w:hint="eastAsia" w:ascii="仿宋_GB2312" w:hAnsi="仿宋_GB2312" w:eastAsia="仿宋_GB2312" w:cs="仿宋_GB2312"/>
          <w:spacing w:val="-16"/>
          <w:sz w:val="32"/>
          <w:szCs w:val="32"/>
          <w14:textFill>
            <w14:gradFill>
              <w14:gsLst>
                <w14:gs w14:pos="0">
                  <w14:srgbClr w14:val="9EE256"/>
                </w14:gs>
                <w14:gs w14:pos="100000">
                  <w14:srgbClr w14:val="52762D"/>
                </w14:gs>
              </w14:gsLst>
              <w14:lin w14:scaled="0"/>
            </w14:gradFill>
          </w14:textFill>
        </w:rPr>
        <w:t xml:space="preserve"> </w:t>
      </w:r>
    </w:p>
    <w:p>
      <w:pPr>
        <w:pageBreakBefore w:val="0"/>
        <w:numPr>
          <w:ilvl w:val="0"/>
          <w:numId w:val="3"/>
        </w:numP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val="en-US" w:eastAsia="zh-CN"/>
        </w:rPr>
        <w:t>锡林郭勒盟科学技术协会所属单位设置及人员情况</w:t>
      </w:r>
    </w:p>
    <w:p>
      <w:pPr>
        <w:pageBreakBefore w:val="0"/>
        <w:numPr>
          <w:ilvl w:val="0"/>
          <w:numId w:val="0"/>
        </w:numP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年部门预算编制范围的预算单位情况：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单位情况表</w:t>
      </w:r>
    </w:p>
    <w:tbl>
      <w:tblPr>
        <w:tblStyle w:val="19"/>
        <w:tblW w:w="8418" w:type="dxa"/>
        <w:jc w:val="center"/>
        <w:shd w:val="clear" w:color="auto" w:fill="auto"/>
        <w:tblLayout w:type="fixed"/>
        <w:tblCellMar>
          <w:top w:w="0" w:type="dxa"/>
          <w:left w:w="0" w:type="dxa"/>
          <w:bottom w:w="0" w:type="dxa"/>
          <w:right w:w="0" w:type="dxa"/>
        </w:tblCellMar>
      </w:tblPr>
      <w:tblGrid>
        <w:gridCol w:w="1269"/>
        <w:gridCol w:w="3899"/>
        <w:gridCol w:w="3250"/>
      </w:tblGrid>
      <w:tr>
        <w:tblPrEx>
          <w:shd w:val="clear" w:color="auto" w:fill="auto"/>
          <w:tblCellMar>
            <w:top w:w="0" w:type="dxa"/>
            <w:left w:w="0" w:type="dxa"/>
            <w:bottom w:w="0" w:type="dxa"/>
            <w:right w:w="0" w:type="dxa"/>
          </w:tblCellMar>
        </w:tblPrEx>
        <w:trPr>
          <w:trHeight w:val="675" w:hRule="atLeast"/>
          <w:jc w:val="center"/>
        </w:trPr>
        <w:tc>
          <w:tcPr>
            <w:tcW w:w="126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序号</w:t>
            </w:r>
          </w:p>
        </w:tc>
        <w:tc>
          <w:tcPr>
            <w:tcW w:w="3899"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单位名称</w:t>
            </w:r>
          </w:p>
        </w:tc>
        <w:tc>
          <w:tcPr>
            <w:tcW w:w="325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单位性质</w:t>
            </w:r>
          </w:p>
        </w:tc>
      </w:tr>
      <w:tr>
        <w:tblPrEx>
          <w:tblCellMar>
            <w:top w:w="0" w:type="dxa"/>
            <w:left w:w="0" w:type="dxa"/>
            <w:bottom w:w="0" w:type="dxa"/>
            <w:right w:w="0" w:type="dxa"/>
          </w:tblCellMar>
        </w:tblPrEx>
        <w:trPr>
          <w:trHeight w:val="397" w:hRule="atLeast"/>
          <w:jc w:val="center"/>
        </w:trPr>
        <w:tc>
          <w:tcPr>
            <w:tcW w:w="1269"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3899"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锡林郭勒盟科学技术协会（本级）</w:t>
            </w:r>
          </w:p>
        </w:tc>
        <w:tc>
          <w:tcPr>
            <w:tcW w:w="325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参照公务员法管理的事业单位</w:t>
            </w:r>
          </w:p>
        </w:tc>
      </w:tr>
      <w:tr>
        <w:tblPrEx>
          <w:tblCellMar>
            <w:top w:w="0" w:type="dxa"/>
            <w:left w:w="0" w:type="dxa"/>
            <w:bottom w:w="0" w:type="dxa"/>
            <w:right w:w="0" w:type="dxa"/>
          </w:tblCellMar>
        </w:tblPrEx>
        <w:trPr>
          <w:trHeight w:val="397" w:hRule="atLeast"/>
          <w:jc w:val="center"/>
        </w:trPr>
        <w:tc>
          <w:tcPr>
            <w:tcW w:w="12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38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锡林郭勒盟科技教育和创新服务中心</w:t>
            </w:r>
          </w:p>
        </w:tc>
        <w:tc>
          <w:tcPr>
            <w:tcW w:w="3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公益一类事业单位</w:t>
            </w:r>
          </w:p>
        </w:tc>
      </w:tr>
    </w:tbl>
    <w:p>
      <w:pPr>
        <w:pageBreakBefore w:val="0"/>
        <w:kinsoku/>
        <w:wordWrap/>
        <w:overflowPunct/>
        <w:topLinePunct w:val="0"/>
        <w:autoSpaceDE/>
        <w:autoSpaceDN/>
        <w:bidi w:val="0"/>
        <w:adjustRightInd/>
        <w:spacing w:line="360" w:lineRule="auto"/>
        <w:ind w:left="0" w:leftChars="0" w:right="0" w:firstLine="640" w:firstLineChars="200"/>
        <w:textAlignment w:val="auto"/>
        <w:outlineLvl w:val="0"/>
        <w:rPr>
          <w:rFonts w:hint="eastAsia" w:eastAsia="黑体" w:cs="黑体"/>
          <w:b w:val="0"/>
          <w:bCs w:val="0"/>
          <w:sz w:val="32"/>
          <w:szCs w:val="36"/>
        </w:rPr>
      </w:pPr>
    </w:p>
    <w:p>
      <w:pPr>
        <w:pageBreakBefore w:val="0"/>
        <w:kinsoku/>
        <w:wordWrap/>
        <w:overflowPunct/>
        <w:topLinePunct w:val="0"/>
        <w:autoSpaceDE/>
        <w:autoSpaceDN/>
        <w:bidi w:val="0"/>
        <w:adjustRightInd/>
        <w:spacing w:line="360" w:lineRule="auto"/>
        <w:ind w:left="0" w:leftChars="0" w:right="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2024</w:t>
      </w:r>
      <w:r>
        <w:rPr>
          <w:rFonts w:hint="eastAsia" w:eastAsia="黑体" w:cs="黑体"/>
          <w:b w:val="0"/>
          <w:bCs w:val="0"/>
          <w:sz w:val="32"/>
          <w:szCs w:val="36"/>
        </w:rPr>
        <w:t>年部门主要工作任务及目标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（一）贯穿主线意识，确保坚定正确的政治方向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1.坚决树牢主线意识。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2.不断强化理论武装。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3.大力弘扬蒙古马精神和“三北精神”。</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（二）深化科学普及工作，推动我盟公民科学素质提升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 w:eastAsia="zh-CN" w:bidi="ar-SA"/>
        </w:rPr>
      </w:pP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 w:eastAsia="zh-CN" w:bidi="ar-SA"/>
        </w:rPr>
        <w:t>加强科普品牌活动开展。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深入落实</w:t>
      </w:r>
      <w:r>
        <w:rPr>
          <w:rFonts w:hint="eastAsia" w:ascii="仿宋_GB2312" w:hAnsi="仿宋_GB2312" w:eastAsia="仿宋_GB2312" w:cs="仿宋_GB2312"/>
          <w:sz w:val="32"/>
          <w:szCs w:val="32"/>
          <w:lang w:eastAsia="zh-CN"/>
        </w:rPr>
        <w:t>我盟《“</w:t>
      </w:r>
      <w:r>
        <w:rPr>
          <w:rFonts w:hint="eastAsia" w:ascii="仿宋_GB2312" w:hAnsi="仿宋_GB2312" w:eastAsia="仿宋_GB2312" w:cs="仿宋_GB2312"/>
          <w:sz w:val="32"/>
          <w:szCs w:val="32"/>
        </w:rPr>
        <w:t>十四五”公民科学素质行动</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纲要</w:t>
      </w:r>
      <w:r>
        <w:rPr>
          <w:rFonts w:hint="eastAsia" w:ascii="仿宋_GB2312" w:hAnsi="仿宋_GB2312" w:eastAsia="仿宋_GB2312" w:cs="仿宋_GB2312"/>
          <w:sz w:val="32"/>
          <w:szCs w:val="32"/>
          <w:lang w:eastAsia="zh-CN"/>
        </w:rPr>
        <w:t>实施方案》，丰富科普活动的内容和形式，推动科技志愿服务活动“六进”常态化、长效化发展。重点</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全国科普日、</w:t>
      </w:r>
      <w:r>
        <w:rPr>
          <w:rFonts w:hint="eastAsia" w:ascii="仿宋_GB2312" w:hAnsi="仿宋_GB2312" w:eastAsia="仿宋_GB2312" w:cs="仿宋_GB2312"/>
          <w:sz w:val="32"/>
          <w:szCs w:val="32"/>
        </w:rPr>
        <w:t>科技活动周、</w:t>
      </w:r>
      <w:r>
        <w:rPr>
          <w:rFonts w:hint="eastAsia" w:ascii="仿宋_GB2312" w:hAnsi="仿宋_GB2312" w:eastAsia="仿宋_GB2312" w:cs="仿宋_GB2312"/>
          <w:sz w:val="32"/>
          <w:szCs w:val="32"/>
          <w:lang w:val="en"/>
        </w:rPr>
        <w:t>“百名专家走进盟市旗县科普传播行”</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rPr>
        <w:t>“科技文化卫生三下乡”等</w:t>
      </w:r>
      <w:r>
        <w:rPr>
          <w:rFonts w:hint="eastAsia" w:ascii="仿宋_GB2312" w:hAnsi="仿宋_GB2312" w:eastAsia="仿宋_GB2312" w:cs="仿宋_GB2312"/>
          <w:sz w:val="32"/>
          <w:szCs w:val="32"/>
          <w:lang w:eastAsia="zh-CN"/>
        </w:rPr>
        <w:t>品牌</w:t>
      </w:r>
      <w:r>
        <w:rPr>
          <w:rFonts w:hint="eastAsia" w:ascii="仿宋_GB2312" w:hAnsi="仿宋_GB2312" w:eastAsia="仿宋_GB2312" w:cs="仿宋_GB2312"/>
          <w:sz w:val="32"/>
          <w:szCs w:val="32"/>
        </w:rPr>
        <w:t>科普活动</w:t>
      </w:r>
      <w:r>
        <w:rPr>
          <w:rFonts w:hint="eastAsia" w:ascii="仿宋_GB2312" w:hAnsi="仿宋_GB2312" w:eastAsia="仿宋_GB2312" w:cs="仿宋_GB2312"/>
          <w:sz w:val="32"/>
          <w:szCs w:val="32"/>
          <w:lang w:eastAsia="zh-CN"/>
        </w:rPr>
        <w:t>，组织开展科普节活动、重点打造</w:t>
      </w:r>
      <w:r>
        <w:rPr>
          <w:rFonts w:hint="eastAsia" w:ascii="仿宋_GB2312" w:hAnsi="仿宋_GB2312" w:eastAsia="仿宋_GB2312" w:cs="仿宋_GB2312"/>
          <w:sz w:val="32"/>
          <w:szCs w:val="32"/>
          <w:lang w:val="en-US" w:eastAsia="zh-CN"/>
        </w:rPr>
        <w:t>“科普+乌兰牧骑”品牌活动，在各地组织乌</w:t>
      </w:r>
      <w:r>
        <w:rPr>
          <w:rFonts w:hint="eastAsia" w:ascii="仿宋_GB2312" w:hAnsi="仿宋_GB2312" w:eastAsia="仿宋_GB2312" w:cs="仿宋_GB2312"/>
          <w:sz w:val="32"/>
          <w:szCs w:val="32"/>
          <w:highlight w:val="none"/>
          <w:lang w:val="en-US" w:eastAsia="zh-CN"/>
        </w:rPr>
        <w:t>兰牧骑科普志愿者进农村牧区、进校园、进社区、进企业开展文艺科普活动，让科普宣传走进基层群众，提高科普活动的覆盖面和影响力。</w:t>
      </w:r>
      <w:r>
        <w:rPr>
          <w:rFonts w:hint="eastAsia" w:ascii="仿宋_GB2312" w:hAnsi="仿宋_GB2312" w:eastAsia="仿宋_GB2312" w:cs="仿宋_GB2312"/>
          <w:sz w:val="32"/>
          <w:szCs w:val="32"/>
          <w:highlight w:val="none"/>
          <w:lang w:val="en" w:eastAsia="zh-CN"/>
        </w:rPr>
        <w:t>在白旗、多伦县等旗县开展</w:t>
      </w:r>
      <w:r>
        <w:rPr>
          <w:rFonts w:hint="eastAsia" w:ascii="仿宋_GB2312" w:hAnsi="仿宋_GB2312" w:eastAsia="仿宋_GB2312" w:cs="仿宋_GB2312"/>
          <w:sz w:val="32"/>
          <w:szCs w:val="32"/>
          <w:highlight w:val="none"/>
          <w:lang w:val="en-US" w:eastAsia="zh-CN"/>
        </w:rPr>
        <w:t>“科技助力乡村振兴专家旗县行”活动。在二连市、阿旗、东苏旗以及东乌旗等相关旗县市（区）开展“科普志愿服务边境旗县行”等活动，提高边境旗县农牧民科学素质。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5.开展各类品牌赛事活动。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6.加强科普志愿者队伍建设。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7.加强科普基础设施建设。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实施馆校合作行动</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引导中小学充分利用科技馆、博物馆、科普教育基地、青少年科学工作室等科普场所和资源</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广泛开展科技节、科学营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w:t>
      </w:r>
      <w:r>
        <w:rPr>
          <w:rFonts w:hint="eastAsia" w:ascii="仿宋_GB2312" w:hAnsi="仿宋_GB2312" w:eastAsia="仿宋_GB2312" w:cs="仿宋_GB2312"/>
          <w:color w:val="auto"/>
          <w:spacing w:val="0"/>
          <w:sz w:val="32"/>
          <w:szCs w:val="32"/>
        </w:rPr>
        <w:t>学探究、创新创</w:t>
      </w:r>
      <w:r>
        <w:rPr>
          <w:rFonts w:hint="eastAsia" w:ascii="仿宋_GB2312" w:hAnsi="仿宋_GB2312" w:eastAsia="仿宋_GB2312" w:cs="仿宋_GB2312"/>
          <w:color w:val="auto"/>
          <w:spacing w:val="0"/>
          <w:sz w:val="32"/>
          <w:szCs w:val="32"/>
          <w:highlight w:val="none"/>
        </w:rPr>
        <w:t>造等科学教育活动。</w:t>
      </w:r>
      <w:r>
        <w:rPr>
          <w:rFonts w:hint="eastAsia" w:ascii="仿宋_GB2312" w:hAnsi="仿宋_GB2312" w:eastAsia="仿宋_GB2312" w:cs="仿宋_GB2312"/>
          <w:color w:val="auto"/>
          <w:spacing w:val="0"/>
          <w:sz w:val="32"/>
          <w:szCs w:val="32"/>
          <w:highlight w:val="none"/>
          <w:lang w:eastAsia="zh-CN"/>
        </w:rPr>
        <w:t>重点实施</w:t>
      </w:r>
      <w:r>
        <w:rPr>
          <w:rFonts w:hint="eastAsia" w:ascii="仿宋_GB2312" w:hAnsi="仿宋_GB2312" w:eastAsia="仿宋_GB2312" w:cs="仿宋_GB2312"/>
          <w:sz w:val="32"/>
          <w:szCs w:val="32"/>
          <w:highlight w:val="none"/>
          <w:lang w:val="en-US" w:eastAsia="zh-CN"/>
        </w:rPr>
        <w:t>2024年科技</w:t>
      </w:r>
      <w:r>
        <w:rPr>
          <w:rFonts w:hint="eastAsia" w:ascii="仿宋_GB2312" w:hAnsi="仿宋_GB2312" w:eastAsia="仿宋_GB2312" w:cs="仿宋_GB2312"/>
          <w:sz w:val="32"/>
          <w:szCs w:val="32"/>
          <w:highlight w:val="none"/>
          <w:lang w:eastAsia="zh-CN"/>
        </w:rPr>
        <w:t>馆免费开放项目，推动阿旗、东苏旗、东乌旗、白旗等地科技馆进一步发挥科普教育功能。</w:t>
      </w:r>
      <w:r>
        <w:rPr>
          <w:rFonts w:hint="eastAsia" w:ascii="仿宋_GB2312" w:hAnsi="仿宋_GB2312" w:eastAsia="仿宋_GB2312" w:cs="仿宋_GB2312"/>
          <w:sz w:val="32"/>
          <w:szCs w:val="32"/>
          <w:highlight w:val="none"/>
          <w:lang w:val="en-US" w:eastAsia="zh-CN"/>
        </w:rPr>
        <w:t>推动全国科普示范旗县锡市科技馆建设。落实基层科普行动计划项目，推动阿旗、西苏旗、东乌旗等旗县相关项目实施。积极发挥科普大篷车、流动科技馆作用，结合当地实际深入基层开展科普宣传，深入实施流动</w:t>
      </w:r>
      <w:r>
        <w:rPr>
          <w:rFonts w:hint="eastAsia" w:ascii="仿宋_GB2312" w:hAnsi="仿宋_GB2312" w:eastAsia="仿宋_GB2312" w:cs="仿宋_GB2312"/>
          <w:color w:val="auto"/>
          <w:spacing w:val="0"/>
          <w:sz w:val="32"/>
          <w:szCs w:val="32"/>
          <w:highlight w:val="none"/>
        </w:rPr>
        <w:t>科技馆</w:t>
      </w:r>
      <w:r>
        <w:rPr>
          <w:rFonts w:hint="eastAsia" w:ascii="仿宋_GB2312" w:hAnsi="仿宋_GB2312" w:eastAsia="仿宋_GB2312" w:cs="仿宋_GB2312"/>
          <w:color w:val="auto"/>
          <w:spacing w:val="0"/>
          <w:sz w:val="32"/>
          <w:szCs w:val="32"/>
          <w:highlight w:val="none"/>
          <w:lang w:eastAsia="zh-CN"/>
        </w:rPr>
        <w:t>项目，开展</w:t>
      </w:r>
      <w:r>
        <w:rPr>
          <w:rFonts w:hint="eastAsia" w:ascii="仿宋_GB2312" w:hAnsi="仿宋_GB2312" w:eastAsia="仿宋_GB2312" w:cs="仿宋_GB2312"/>
          <w:color w:val="auto"/>
          <w:spacing w:val="0"/>
          <w:sz w:val="32"/>
          <w:szCs w:val="32"/>
          <w:highlight w:val="none"/>
        </w:rPr>
        <w:t>“中国流动科技馆”锡林郭勒盟</w:t>
      </w:r>
      <w:r>
        <w:rPr>
          <w:rFonts w:hint="eastAsia" w:ascii="仿宋_GB2312" w:hAnsi="仿宋_GB2312" w:eastAsia="仿宋_GB2312" w:cs="仿宋_GB2312"/>
          <w:color w:val="auto"/>
          <w:spacing w:val="0"/>
          <w:sz w:val="32"/>
          <w:szCs w:val="32"/>
          <w:highlight w:val="none"/>
          <w:lang w:val="en-US" w:eastAsia="zh-CN"/>
        </w:rPr>
        <w:t>第二轮</w:t>
      </w:r>
      <w:r>
        <w:rPr>
          <w:rFonts w:hint="eastAsia" w:ascii="仿宋_GB2312" w:hAnsi="仿宋_GB2312" w:eastAsia="仿宋_GB2312" w:cs="仿宋_GB2312"/>
          <w:color w:val="auto"/>
          <w:spacing w:val="0"/>
          <w:sz w:val="32"/>
          <w:szCs w:val="32"/>
          <w:highlight w:val="none"/>
        </w:rPr>
        <w:t>巡展活动</w:t>
      </w:r>
      <w:r>
        <w:rPr>
          <w:rFonts w:hint="eastAsia" w:ascii="仿宋_GB2312" w:hAnsi="仿宋_GB2312" w:eastAsia="仿宋_GB2312" w:cs="仿宋_GB2312"/>
          <w:color w:val="auto"/>
          <w:spacing w:val="0"/>
          <w:kern w:val="0"/>
          <w:sz w:val="32"/>
          <w:szCs w:val="32"/>
          <w:highlight w:val="none"/>
          <w:lang w:val="en-US" w:eastAsia="zh-CN" w:bidi="ar"/>
        </w:rPr>
        <w:t>。</w:t>
      </w:r>
      <w:r>
        <w:rPr>
          <w:rFonts w:hint="eastAsia" w:ascii="仿宋_GB2312" w:hAnsi="仿宋_GB2312" w:eastAsia="仿宋_GB2312" w:cs="仿宋_GB2312"/>
          <w:color w:val="auto"/>
          <w:spacing w:val="0"/>
          <w:sz w:val="32"/>
          <w:szCs w:val="32"/>
          <w:lang w:eastAsia="zh-CN"/>
        </w:rPr>
        <w:t>增加</w:t>
      </w:r>
      <w:r>
        <w:rPr>
          <w:rFonts w:hint="eastAsia" w:ascii="仿宋_GB2312" w:hAnsi="仿宋_GB2312" w:eastAsia="仿宋_GB2312" w:cs="仿宋_GB2312"/>
          <w:color w:val="auto"/>
          <w:spacing w:val="0"/>
          <w:sz w:val="32"/>
          <w:szCs w:val="32"/>
        </w:rPr>
        <w:t>巡展</w:t>
      </w:r>
      <w:r>
        <w:rPr>
          <w:rFonts w:hint="eastAsia" w:ascii="仿宋_GB2312" w:hAnsi="仿宋_GB2312" w:eastAsia="仿宋_GB2312" w:cs="仿宋_GB2312"/>
          <w:color w:val="auto"/>
          <w:spacing w:val="0"/>
          <w:sz w:val="32"/>
          <w:szCs w:val="32"/>
          <w:lang w:eastAsia="zh-CN"/>
        </w:rPr>
        <w:t>频</w:t>
      </w:r>
      <w:r>
        <w:rPr>
          <w:rFonts w:hint="eastAsia" w:ascii="仿宋_GB2312" w:hAnsi="仿宋_GB2312" w:eastAsia="仿宋_GB2312" w:cs="仿宋_GB2312"/>
          <w:color w:val="auto"/>
          <w:spacing w:val="0"/>
          <w:sz w:val="32"/>
          <w:szCs w:val="32"/>
        </w:rPr>
        <w:t>次</w:t>
      </w:r>
      <w:r>
        <w:rPr>
          <w:rFonts w:hint="eastAsia" w:ascii="仿宋_GB2312" w:hAnsi="仿宋_GB2312" w:eastAsia="仿宋_GB2312" w:cs="仿宋_GB2312"/>
          <w:color w:val="auto"/>
          <w:spacing w:val="0"/>
          <w:sz w:val="32"/>
          <w:szCs w:val="32"/>
          <w:lang w:eastAsia="zh-CN"/>
        </w:rPr>
        <w:t>，有效扩大覆盖面，促进科普资源共享。</w:t>
      </w:r>
      <w:r>
        <w:rPr>
          <w:rFonts w:hint="eastAsia" w:ascii="仿宋_GB2312" w:hAnsi="仿宋_GB2312" w:eastAsia="仿宋_GB2312" w:cs="仿宋_GB2312"/>
          <w:sz w:val="32"/>
          <w:szCs w:val="32"/>
          <w:lang w:eastAsia="zh-CN"/>
        </w:rPr>
        <w:t>年内对全盟2021年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基层科普行动计划”资金及其它科普项目资金使用情况采取听取汇报、实地调研、查看资料等方式进行督查检查。通过项目检查及时发现项目建设中存在的各类问题，及时整改、总结经验,推动项目实现预期建设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8.深化科普工作信息化建设。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（三）竭诚为科技工作者服务，汇聚科技自立自强的磅礴力量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9.强化服务意识。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10.健全服务体系。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11.提高服务能力。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（四）围绕办好“两件大事”，在推进高质量发展中担当作为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12.扎实助力我国北方重要生态安全屏障建设。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13.扎实助力祖国北疆安全稳定屏障建设。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14.扎实助力国家重要能源和战略资源基地建设。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15.扎实助力国家重要农畜产品生产基地建设。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16.扎实助力我国向北开放重要桥头堡建设。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17.积极投身全方位建设模范自治区。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（五）切实加强自身建设，进一步凝聚起干事创业的强大动力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18.深入落实党建工作责任制。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19.进一步完善基层组织建设。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color w:val="auto"/>
          <w:kern w:val="2"/>
          <w:sz w:val="32"/>
          <w:szCs w:val="32"/>
          <w:highlight w:val="none"/>
          <w:lang w:val="en-US" w:eastAsia="zh-CN" w:bidi="ar-SA"/>
        </w:rPr>
        <w:t>20.加强信息报送工作。</w:t>
      </w:r>
    </w:p>
    <w:p>
      <w:pPr>
        <w:pStyle w:val="7"/>
        <w:pageBreakBefore w:val="0"/>
        <w:tabs>
          <w:tab w:val="left" w:pos="4392"/>
        </w:tabs>
        <w:kinsoku/>
        <w:wordWrap/>
        <w:overflowPunct/>
        <w:topLinePunct w:val="0"/>
        <w:autoSpaceDE/>
        <w:autoSpaceDN/>
        <w:bidi w:val="0"/>
        <w:adjustRightInd/>
        <w:spacing w:before="0" w:after="0" w:line="360" w:lineRule="auto"/>
        <w:ind w:left="0" w:leftChars="0" w:right="0" w:firstLine="720"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年度部门预算情况说明</w:t>
      </w:r>
    </w:p>
    <w:p>
      <w:pPr>
        <w:pageBreakBefore w:val="0"/>
        <w:kinsoku/>
        <w:wordWrap/>
        <w:overflowPunct/>
        <w:topLinePunct w:val="0"/>
        <w:autoSpaceDE/>
        <w:autoSpaceDN/>
        <w:bidi w:val="0"/>
        <w:adjustRightInd/>
        <w:spacing w:line="360" w:lineRule="auto"/>
        <w:ind w:left="0" w:leftChars="0" w:right="0" w:firstLine="640" w:firstLineChars="200"/>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一、收支预算总体情况说明</w:t>
      </w:r>
    </w:p>
    <w:p>
      <w:pPr>
        <w:pStyle w:val="10"/>
        <w:pageBreakBefore w:val="0"/>
        <w:tabs>
          <w:tab w:val="left" w:pos="5840"/>
          <w:tab w:val="left" w:pos="7858"/>
          <w:tab w:val="left" w:pos="9328"/>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lang w:val="en-US" w:eastAsia="zh-CN"/>
        </w:rPr>
        <w:t>497.03</w:t>
      </w:r>
      <w:r>
        <w:rPr>
          <w:rFonts w:hint="eastAsia" w:ascii="仿宋_GB2312" w:hAnsi="仿宋_GB2312" w:eastAsia="仿宋_GB2312" w:cs="仿宋_GB2312"/>
          <w:sz w:val="32"/>
          <w:szCs w:val="32"/>
        </w:rPr>
        <w:t>万元，与上年相比收、支预算总计各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u w:val="single"/>
          <w:lang w:val="en-US" w:eastAsia="zh-CN"/>
        </w:rPr>
        <w:t>8.21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u w:val="single"/>
          <w:lang w:val="en-US" w:eastAsia="zh-CN"/>
        </w:rPr>
        <w:t>1.68</w:t>
      </w:r>
      <w:r>
        <w:rPr>
          <w:rFonts w:hint="eastAsia" w:ascii="仿宋_GB2312" w:hAnsi="仿宋_GB2312" w:eastAsia="仿宋_GB2312" w:cs="仿宋_GB2312"/>
          <w:sz w:val="32"/>
          <w:szCs w:val="32"/>
        </w:rPr>
        <w:t>%。其中：</w:t>
      </w:r>
    </w:p>
    <w:p>
      <w:pPr>
        <w:pStyle w:val="10"/>
        <w:pageBreakBefore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（一）收入预算总计</w:t>
      </w:r>
      <w:r>
        <w:rPr>
          <w:rFonts w:hint="eastAsia" w:ascii="仿宋_GB2312" w:hAnsi="仿宋_GB2312" w:eastAsia="仿宋_GB2312" w:cs="仿宋_GB2312"/>
          <w:sz w:val="32"/>
          <w:szCs w:val="32"/>
          <w:u w:val="single"/>
          <w:lang w:val="en-US" w:eastAsia="zh-CN"/>
        </w:rPr>
        <w:t>497.03</w:t>
      </w:r>
      <w:r>
        <w:rPr>
          <w:rFonts w:hint="eastAsia" w:ascii="仿宋_GB2312" w:hAnsi="仿宋_GB2312" w:eastAsia="仿宋_GB2312" w:cs="仿宋_GB2312"/>
          <w:b/>
          <w:bCs/>
          <w:sz w:val="32"/>
          <w:szCs w:val="32"/>
        </w:rPr>
        <w:t>万元。包括：</w:t>
      </w:r>
    </w:p>
    <w:p>
      <w:pPr>
        <w:pStyle w:val="10"/>
        <w:pageBreakBefore w:val="0"/>
        <w:tabs>
          <w:tab w:val="left" w:pos="3792"/>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1．本年收入合计</w:t>
      </w:r>
      <w:r>
        <w:rPr>
          <w:rFonts w:hint="eastAsia" w:ascii="仿宋_GB2312" w:hAnsi="仿宋_GB2312" w:eastAsia="仿宋_GB2312" w:cs="仿宋_GB2312"/>
          <w:sz w:val="32"/>
          <w:szCs w:val="32"/>
          <w:u w:val="single"/>
          <w:lang w:val="en-US" w:eastAsia="zh-CN"/>
        </w:rPr>
        <w:t>482.29</w:t>
      </w:r>
      <w:r>
        <w:rPr>
          <w:rFonts w:hint="eastAsia" w:ascii="仿宋_GB2312" w:hAnsi="仿宋_GB2312" w:eastAsia="仿宋_GB2312" w:cs="仿宋_GB2312"/>
          <w:sz w:val="32"/>
          <w:szCs w:val="32"/>
        </w:rPr>
        <w:t>万元。</w:t>
      </w:r>
    </w:p>
    <w:p>
      <w:pPr>
        <w:pageBreakBefore w:val="0"/>
        <w:kinsoku/>
        <w:wordWrap/>
        <w:overflowPunct/>
        <w:topLinePunct w:val="0"/>
        <w:autoSpaceDE/>
        <w:autoSpaceDN/>
        <w:bidi w:val="0"/>
        <w:adjustRightInd/>
        <w:spacing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（1）一般公共预算拨款收入</w:t>
      </w:r>
      <w:r>
        <w:rPr>
          <w:rFonts w:hint="eastAsia" w:ascii="仿宋_GB2312" w:hAnsi="仿宋_GB2312" w:eastAsia="仿宋_GB2312" w:cs="仿宋_GB2312"/>
          <w:sz w:val="32"/>
          <w:szCs w:val="32"/>
          <w:u w:val="single"/>
          <w:lang w:val="en-US" w:eastAsia="zh-CN"/>
        </w:rPr>
        <w:t>482.29</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48.32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11.13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pacing w:val="-10"/>
          <w:sz w:val="32"/>
          <w:szCs w:val="32"/>
          <w:lang w:val="en-US" w:eastAsia="zh-CN"/>
        </w:rPr>
        <w:t>人员工资正常晋级，所属二级单位新增2人，相应的各项人员经费均增加。</w:t>
      </w:r>
    </w:p>
    <w:p>
      <w:pPr>
        <w:pStyle w:val="10"/>
        <w:pageBreakBefore w:val="0"/>
        <w:tabs>
          <w:tab w:val="left" w:pos="1389"/>
          <w:tab w:val="left" w:pos="4911"/>
          <w:tab w:val="left" w:pos="5991"/>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（2）政府性基金预算拨款收入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trike w:val="0"/>
          <w:dstrike w:val="0"/>
          <w:sz w:val="32"/>
          <w:szCs w:val="32"/>
          <w:u w:val="single"/>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pacing w:val="-1"/>
          <w:sz w:val="32"/>
          <w:szCs w:val="32"/>
          <w:lang w:val="en-US" w:eastAsia="zh-CN"/>
        </w:rPr>
        <w:t>本</w:t>
      </w:r>
      <w:r>
        <w:rPr>
          <w:rFonts w:hint="eastAsia" w:ascii="仿宋_GB2312" w:hAnsi="仿宋_GB2312" w:eastAsia="仿宋_GB2312" w:cs="仿宋_GB2312"/>
          <w:spacing w:val="-10"/>
          <w:sz w:val="32"/>
          <w:szCs w:val="32"/>
          <w:lang w:val="en-US" w:eastAsia="zh-CN"/>
        </w:rPr>
        <w:t>部门</w:t>
      </w:r>
      <w:r>
        <w:rPr>
          <w:rFonts w:hint="eastAsia" w:ascii="仿宋_GB2312" w:hAnsi="仿宋_GB2312" w:eastAsia="仿宋_GB2312" w:cs="仿宋_GB2312"/>
          <w:spacing w:val="-4"/>
          <w:sz w:val="32"/>
          <w:szCs w:val="32"/>
        </w:rPr>
        <w:t>不存在此项内容</w:t>
      </w:r>
      <w:r>
        <w:rPr>
          <w:rFonts w:hint="eastAsia" w:ascii="仿宋_GB2312" w:hAnsi="仿宋_GB2312" w:eastAsia="仿宋_GB2312" w:cs="仿宋_GB2312"/>
          <w:sz w:val="32"/>
          <w:szCs w:val="32"/>
        </w:rPr>
        <w:t>。</w:t>
      </w:r>
    </w:p>
    <w:p>
      <w:pPr>
        <w:pStyle w:val="10"/>
        <w:pageBreakBefore w:val="0"/>
        <w:tabs>
          <w:tab w:val="left" w:pos="1389"/>
          <w:tab w:val="left" w:pos="4911"/>
          <w:tab w:val="left" w:pos="6205"/>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（3）国有资本经营预算拨款收入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pacing w:val="-1"/>
          <w:sz w:val="32"/>
          <w:szCs w:val="32"/>
          <w:lang w:val="en-US" w:eastAsia="zh-CN"/>
        </w:rPr>
        <w:t>本</w:t>
      </w:r>
      <w:r>
        <w:rPr>
          <w:rFonts w:hint="eastAsia" w:ascii="仿宋_GB2312" w:hAnsi="仿宋_GB2312" w:eastAsia="仿宋_GB2312" w:cs="仿宋_GB2312"/>
          <w:spacing w:val="-10"/>
          <w:sz w:val="32"/>
          <w:szCs w:val="32"/>
          <w:lang w:val="en-US" w:eastAsia="zh-CN"/>
        </w:rPr>
        <w:t>部门</w:t>
      </w:r>
      <w:r>
        <w:rPr>
          <w:rFonts w:hint="eastAsia" w:ascii="仿宋_GB2312" w:hAnsi="仿宋_GB2312" w:eastAsia="仿宋_GB2312" w:cs="仿宋_GB2312"/>
          <w:spacing w:val="-4"/>
          <w:sz w:val="32"/>
          <w:szCs w:val="32"/>
        </w:rPr>
        <w:t>不存在此项内容</w:t>
      </w:r>
      <w:r>
        <w:rPr>
          <w:rFonts w:hint="eastAsia" w:ascii="仿宋_GB2312" w:hAnsi="仿宋_GB2312" w:eastAsia="仿宋_GB2312" w:cs="仿宋_GB2312"/>
          <w:sz w:val="32"/>
          <w:szCs w:val="32"/>
        </w:rPr>
        <w:t>。</w:t>
      </w:r>
    </w:p>
    <w:p>
      <w:pPr>
        <w:pStyle w:val="10"/>
        <w:pageBreakBefore w:val="0"/>
        <w:tabs>
          <w:tab w:val="left" w:pos="1389"/>
          <w:tab w:val="left" w:pos="4911"/>
          <w:tab w:val="left" w:pos="5898"/>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（4）财政专户管理资金收入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pacing w:val="-1"/>
          <w:sz w:val="32"/>
          <w:szCs w:val="32"/>
          <w:lang w:val="en-US" w:eastAsia="zh-CN"/>
        </w:rPr>
        <w:t>本</w:t>
      </w:r>
      <w:r>
        <w:rPr>
          <w:rFonts w:hint="eastAsia" w:ascii="仿宋_GB2312" w:hAnsi="仿宋_GB2312" w:eastAsia="仿宋_GB2312" w:cs="仿宋_GB2312"/>
          <w:spacing w:val="-10"/>
          <w:sz w:val="32"/>
          <w:szCs w:val="32"/>
          <w:lang w:val="en-US" w:eastAsia="zh-CN"/>
        </w:rPr>
        <w:t>部门</w:t>
      </w:r>
      <w:r>
        <w:rPr>
          <w:rFonts w:hint="eastAsia" w:ascii="仿宋_GB2312" w:hAnsi="仿宋_GB2312" w:eastAsia="仿宋_GB2312" w:cs="仿宋_GB2312"/>
          <w:spacing w:val="-4"/>
          <w:sz w:val="32"/>
          <w:szCs w:val="32"/>
        </w:rPr>
        <w:t>不存在此项内容</w:t>
      </w:r>
      <w:r>
        <w:rPr>
          <w:rFonts w:hint="eastAsia" w:ascii="仿宋_GB2312" w:hAnsi="仿宋_GB2312" w:eastAsia="仿宋_GB2312" w:cs="仿宋_GB2312"/>
          <w:sz w:val="32"/>
          <w:szCs w:val="32"/>
        </w:rPr>
        <w:t>。</w:t>
      </w:r>
    </w:p>
    <w:p>
      <w:pPr>
        <w:pStyle w:val="10"/>
        <w:pageBreakBefore w:val="0"/>
        <w:tabs>
          <w:tab w:val="left" w:pos="3310"/>
          <w:tab w:val="left" w:pos="3807"/>
          <w:tab w:val="left" w:pos="9433"/>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（5）事业收入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pacing w:val="-1"/>
          <w:sz w:val="32"/>
          <w:szCs w:val="32"/>
          <w:lang w:val="en-US" w:eastAsia="zh-CN"/>
        </w:rPr>
        <w:t>本</w:t>
      </w:r>
      <w:r>
        <w:rPr>
          <w:rFonts w:hint="eastAsia" w:ascii="仿宋_GB2312" w:hAnsi="仿宋_GB2312" w:eastAsia="仿宋_GB2312" w:cs="仿宋_GB2312"/>
          <w:spacing w:val="-10"/>
          <w:sz w:val="32"/>
          <w:szCs w:val="32"/>
          <w:lang w:val="en-US" w:eastAsia="zh-CN"/>
        </w:rPr>
        <w:t>部门</w:t>
      </w:r>
      <w:r>
        <w:rPr>
          <w:rFonts w:hint="eastAsia" w:ascii="仿宋_GB2312" w:hAnsi="仿宋_GB2312" w:eastAsia="仿宋_GB2312" w:cs="仿宋_GB2312"/>
          <w:spacing w:val="-4"/>
          <w:sz w:val="32"/>
          <w:szCs w:val="32"/>
        </w:rPr>
        <w:t>不存在此项内容</w:t>
      </w:r>
      <w:r>
        <w:rPr>
          <w:rFonts w:hint="eastAsia" w:ascii="仿宋_GB2312" w:hAnsi="仿宋_GB2312" w:eastAsia="仿宋_GB2312" w:cs="仿宋_GB2312"/>
          <w:sz w:val="32"/>
          <w:szCs w:val="32"/>
        </w:rPr>
        <w:t>。</w:t>
      </w:r>
    </w:p>
    <w:p>
      <w:pPr>
        <w:pStyle w:val="10"/>
        <w:pageBreakBefore w:val="0"/>
        <w:tabs>
          <w:tab w:val="left" w:pos="1389"/>
          <w:tab w:val="left" w:pos="4911"/>
          <w:tab w:val="left" w:pos="590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（6）事业单位经营收入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pacing w:val="-1"/>
          <w:sz w:val="32"/>
          <w:szCs w:val="32"/>
          <w:lang w:val="en-US" w:eastAsia="zh-CN"/>
        </w:rPr>
        <w:t>本</w:t>
      </w:r>
      <w:r>
        <w:rPr>
          <w:rFonts w:hint="eastAsia" w:ascii="仿宋_GB2312" w:hAnsi="仿宋_GB2312" w:eastAsia="仿宋_GB2312" w:cs="仿宋_GB2312"/>
          <w:spacing w:val="-10"/>
          <w:sz w:val="32"/>
          <w:szCs w:val="32"/>
          <w:lang w:val="en-US" w:eastAsia="zh-CN"/>
        </w:rPr>
        <w:t>部门</w:t>
      </w:r>
      <w:r>
        <w:rPr>
          <w:rFonts w:hint="eastAsia" w:ascii="仿宋_GB2312" w:hAnsi="仿宋_GB2312" w:eastAsia="仿宋_GB2312" w:cs="仿宋_GB2312"/>
          <w:spacing w:val="-4"/>
          <w:sz w:val="32"/>
          <w:szCs w:val="32"/>
        </w:rPr>
        <w:t>不存在此项内容</w:t>
      </w:r>
      <w:r>
        <w:rPr>
          <w:rFonts w:hint="eastAsia" w:ascii="仿宋_GB2312" w:hAnsi="仿宋_GB2312" w:eastAsia="仿宋_GB2312" w:cs="仿宋_GB2312"/>
          <w:sz w:val="32"/>
          <w:szCs w:val="32"/>
        </w:rPr>
        <w:t>。</w:t>
      </w:r>
    </w:p>
    <w:p>
      <w:pPr>
        <w:pStyle w:val="10"/>
        <w:pageBreakBefore w:val="0"/>
        <w:tabs>
          <w:tab w:val="left" w:pos="4320"/>
          <w:tab w:val="left" w:pos="9433"/>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（7）上级补助收入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pacing w:val="-1"/>
          <w:sz w:val="32"/>
          <w:szCs w:val="32"/>
          <w:lang w:val="en-US" w:eastAsia="zh-CN"/>
        </w:rPr>
        <w:t>本</w:t>
      </w:r>
      <w:r>
        <w:rPr>
          <w:rFonts w:hint="eastAsia" w:ascii="仿宋_GB2312" w:hAnsi="仿宋_GB2312" w:eastAsia="仿宋_GB2312" w:cs="仿宋_GB2312"/>
          <w:spacing w:val="-10"/>
          <w:sz w:val="32"/>
          <w:szCs w:val="32"/>
          <w:lang w:val="en-US" w:eastAsia="zh-CN"/>
        </w:rPr>
        <w:t>部门</w:t>
      </w:r>
      <w:r>
        <w:rPr>
          <w:rFonts w:hint="eastAsia" w:ascii="仿宋_GB2312" w:hAnsi="仿宋_GB2312" w:eastAsia="仿宋_GB2312" w:cs="仿宋_GB2312"/>
          <w:spacing w:val="-4"/>
          <w:sz w:val="32"/>
          <w:szCs w:val="32"/>
        </w:rPr>
        <w:t>不存在此项内容</w:t>
      </w:r>
      <w:r>
        <w:rPr>
          <w:rFonts w:hint="eastAsia" w:ascii="仿宋_GB2312" w:hAnsi="仿宋_GB2312" w:eastAsia="仿宋_GB2312" w:cs="仿宋_GB2312"/>
          <w:sz w:val="32"/>
          <w:szCs w:val="32"/>
        </w:rPr>
        <w:t>。</w:t>
      </w:r>
    </w:p>
    <w:p>
      <w:pPr>
        <w:pStyle w:val="10"/>
        <w:pageBreakBefore w:val="0"/>
        <w:tabs>
          <w:tab w:val="left" w:pos="1389"/>
          <w:tab w:val="left" w:pos="4911"/>
          <w:tab w:val="left" w:pos="590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（8）附属单位上缴收入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pacing w:val="-1"/>
          <w:sz w:val="32"/>
          <w:szCs w:val="32"/>
          <w:lang w:val="en-US" w:eastAsia="zh-CN"/>
        </w:rPr>
        <w:t>本</w:t>
      </w:r>
      <w:r>
        <w:rPr>
          <w:rFonts w:hint="eastAsia" w:ascii="仿宋_GB2312" w:hAnsi="仿宋_GB2312" w:eastAsia="仿宋_GB2312" w:cs="仿宋_GB2312"/>
          <w:spacing w:val="-10"/>
          <w:sz w:val="32"/>
          <w:szCs w:val="32"/>
          <w:lang w:val="en-US" w:eastAsia="zh-CN"/>
        </w:rPr>
        <w:t>部门</w:t>
      </w:r>
      <w:r>
        <w:rPr>
          <w:rFonts w:hint="eastAsia" w:ascii="仿宋_GB2312" w:hAnsi="仿宋_GB2312" w:eastAsia="仿宋_GB2312" w:cs="仿宋_GB2312"/>
          <w:spacing w:val="-4"/>
          <w:sz w:val="32"/>
          <w:szCs w:val="32"/>
        </w:rPr>
        <w:t>不存在此项内容</w:t>
      </w:r>
      <w:r>
        <w:rPr>
          <w:rFonts w:hint="eastAsia" w:ascii="仿宋_GB2312" w:hAnsi="仿宋_GB2312" w:eastAsia="仿宋_GB2312" w:cs="仿宋_GB2312"/>
          <w:sz w:val="32"/>
          <w:szCs w:val="32"/>
        </w:rPr>
        <w:t>。</w:t>
      </w:r>
    </w:p>
    <w:p>
      <w:pPr>
        <w:pStyle w:val="10"/>
        <w:pageBreakBefore w:val="0"/>
        <w:tabs>
          <w:tab w:val="left" w:pos="3310"/>
          <w:tab w:val="left" w:pos="4121"/>
          <w:tab w:val="left" w:pos="9431"/>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（9）其他收入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0万</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pacing w:val="-1"/>
          <w:sz w:val="32"/>
          <w:szCs w:val="32"/>
          <w:lang w:val="en-US" w:eastAsia="zh-CN"/>
        </w:rPr>
        <w:t>本</w:t>
      </w:r>
      <w:r>
        <w:rPr>
          <w:rFonts w:hint="eastAsia" w:ascii="仿宋_GB2312" w:hAnsi="仿宋_GB2312" w:eastAsia="仿宋_GB2312" w:cs="仿宋_GB2312"/>
          <w:spacing w:val="-10"/>
          <w:sz w:val="32"/>
          <w:szCs w:val="32"/>
          <w:lang w:val="en-US" w:eastAsia="zh-CN"/>
        </w:rPr>
        <w:t>部门</w:t>
      </w:r>
      <w:r>
        <w:rPr>
          <w:rFonts w:hint="eastAsia" w:ascii="仿宋_GB2312" w:hAnsi="仿宋_GB2312" w:eastAsia="仿宋_GB2312" w:cs="仿宋_GB2312"/>
          <w:spacing w:val="-4"/>
          <w:sz w:val="32"/>
          <w:szCs w:val="32"/>
        </w:rPr>
        <w:t>不存在此项内容</w:t>
      </w:r>
      <w:r>
        <w:rPr>
          <w:rFonts w:hint="eastAsia" w:ascii="仿宋_GB2312" w:hAnsi="仿宋_GB2312" w:eastAsia="仿宋_GB2312" w:cs="仿宋_GB2312"/>
          <w:sz w:val="32"/>
          <w:szCs w:val="32"/>
        </w:rPr>
        <w:t>。</w:t>
      </w:r>
    </w:p>
    <w:p>
      <w:pPr>
        <w:pStyle w:val="10"/>
        <w:pageBreakBefore w:val="0"/>
        <w:tabs>
          <w:tab w:val="left" w:pos="3310"/>
          <w:tab w:val="left" w:pos="4280"/>
          <w:tab w:val="left" w:pos="9431"/>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2．上年结转结余为</w:t>
      </w:r>
      <w:r>
        <w:rPr>
          <w:rFonts w:hint="eastAsia" w:ascii="仿宋_GB2312" w:hAnsi="仿宋_GB2312" w:eastAsia="仿宋_GB2312" w:cs="仿宋_GB2312"/>
          <w:sz w:val="32"/>
          <w:szCs w:val="32"/>
          <w:u w:val="single"/>
          <w:lang w:val="en-US" w:eastAsia="zh-CN"/>
        </w:rPr>
        <w:t>14.74</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u w:val="single"/>
          <w:lang w:val="en-US" w:eastAsia="zh-CN"/>
        </w:rPr>
        <w:t>40.11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u w:val="single"/>
          <w:lang w:val="en-US" w:eastAsia="zh-CN"/>
        </w:rPr>
        <w:t>73.13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highlight w:val="none"/>
          <w:lang w:eastAsia="zh-CN"/>
        </w:rPr>
        <w:t>本年度将部分结转结余资金列支完毕</w:t>
      </w:r>
      <w:r>
        <w:rPr>
          <w:rFonts w:hint="eastAsia" w:ascii="仿宋_GB2312" w:hAnsi="仿宋_GB2312" w:eastAsia="仿宋_GB2312" w:cs="仿宋_GB2312"/>
          <w:sz w:val="32"/>
          <w:szCs w:val="32"/>
        </w:rPr>
        <w:t>。</w:t>
      </w:r>
    </w:p>
    <w:p>
      <w:pPr>
        <w:pStyle w:val="10"/>
        <w:pageBreakBefore w:val="0"/>
        <w:tabs>
          <w:tab w:val="left" w:pos="4275"/>
        </w:tabs>
        <w:kinsoku/>
        <w:wordWrap/>
        <w:overflowPunct/>
        <w:topLinePunct w:val="0"/>
        <w:autoSpaceDE/>
        <w:autoSpaceDN/>
        <w:bidi w:val="0"/>
        <w:adjustRightInd/>
        <w:spacing w:after="0" w:line="360" w:lineRule="auto"/>
        <w:ind w:left="0" w:leftChars="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（二）支出预算总计</w:t>
      </w:r>
      <w:r>
        <w:rPr>
          <w:rFonts w:hint="eastAsia" w:ascii="仿宋_GB2312" w:hAnsi="仿宋_GB2312" w:eastAsia="仿宋_GB2312" w:cs="仿宋_GB2312"/>
          <w:sz w:val="32"/>
          <w:szCs w:val="32"/>
          <w:u w:val="single"/>
          <w:lang w:val="en-US" w:eastAsia="zh-CN"/>
        </w:rPr>
        <w:t>497.03</w:t>
      </w:r>
      <w:r>
        <w:rPr>
          <w:rFonts w:hint="eastAsia" w:ascii="仿宋_GB2312" w:hAnsi="仿宋_GB2312" w:eastAsia="仿宋_GB2312" w:cs="仿宋_GB2312"/>
          <w:b/>
          <w:bCs/>
          <w:sz w:val="32"/>
          <w:szCs w:val="32"/>
        </w:rPr>
        <w:t>万元。包括：</w:t>
      </w:r>
    </w:p>
    <w:p>
      <w:pPr>
        <w:pStyle w:val="10"/>
        <w:pageBreakBefore w:val="0"/>
        <w:tabs>
          <w:tab w:val="left" w:pos="3792"/>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1．本年支出合计</w:t>
      </w:r>
      <w:r>
        <w:rPr>
          <w:rFonts w:hint="eastAsia" w:ascii="仿宋_GB2312" w:hAnsi="仿宋_GB2312" w:eastAsia="仿宋_GB2312" w:cs="仿宋_GB2312"/>
          <w:sz w:val="32"/>
          <w:szCs w:val="32"/>
          <w:u w:val="single"/>
          <w:lang w:val="en-US" w:eastAsia="zh-CN"/>
        </w:rPr>
        <w:t>497.03</w:t>
      </w:r>
      <w:r>
        <w:rPr>
          <w:rFonts w:hint="eastAsia" w:ascii="仿宋_GB2312" w:hAnsi="仿宋_GB2312" w:eastAsia="仿宋_GB2312" w:cs="仿宋_GB2312"/>
          <w:sz w:val="32"/>
          <w:szCs w:val="32"/>
        </w:rPr>
        <w:t>万元。</w:t>
      </w:r>
    </w:p>
    <w:p>
      <w:pPr>
        <w:pageBreakBefore w:val="0"/>
        <w:kinsoku/>
        <w:wordWrap/>
        <w:overflowPunct/>
        <w:topLinePunct w:val="0"/>
        <w:autoSpaceDE/>
        <w:autoSpaceDN/>
        <w:bidi w:val="0"/>
        <w:adjustRightInd/>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0"/>
          <w:sz w:val="32"/>
          <w:szCs w:val="32"/>
          <w:u w:val="none"/>
          <w:lang w:val="en-US" w:eastAsia="zh-CN" w:bidi="ar-SA"/>
        </w:rPr>
        <w:t>( 1 )</w:t>
      </w:r>
      <w:r>
        <w:rPr>
          <w:rFonts w:hint="eastAsia" w:ascii="仿宋_GB2312" w:hAnsi="仿宋_GB2312" w:eastAsia="仿宋_GB2312" w:cs="仿宋_GB2312"/>
          <w:color w:val="auto"/>
          <w:spacing w:val="-8"/>
          <w:sz w:val="32"/>
          <w:szCs w:val="32"/>
        </w:rPr>
        <w:t xml:space="preserve"> </w:t>
      </w:r>
      <w:r>
        <w:rPr>
          <w:rFonts w:hint="eastAsia" w:ascii="仿宋_GB2312" w:hAnsi="仿宋_GB2312" w:eastAsia="仿宋_GB2312" w:cs="仿宋_GB2312"/>
          <w:color w:val="auto"/>
          <w:spacing w:val="-5"/>
          <w:sz w:val="32"/>
          <w:szCs w:val="32"/>
          <w:lang w:val="en-US" w:eastAsia="zh-CN"/>
        </w:rPr>
        <w:t>科学技术</w:t>
      </w:r>
      <w:r>
        <w:rPr>
          <w:rFonts w:hint="eastAsia" w:ascii="仿宋_GB2312" w:hAnsi="仿宋_GB2312" w:eastAsia="仿宋_GB2312" w:cs="仿宋_GB2312"/>
          <w:color w:val="auto"/>
          <w:spacing w:val="-5"/>
          <w:sz w:val="32"/>
          <w:szCs w:val="32"/>
        </w:rPr>
        <w:t xml:space="preserve"> (类) 支出</w:t>
      </w:r>
      <w:r>
        <w:rPr>
          <w:rFonts w:hint="eastAsia" w:ascii="仿宋_GB2312" w:hAnsi="仿宋_GB2312" w:eastAsia="仿宋_GB2312" w:cs="仿宋_GB2312"/>
          <w:color w:val="auto"/>
          <w:spacing w:val="-5"/>
          <w:sz w:val="32"/>
          <w:szCs w:val="32"/>
          <w:u w:val="single" w:color="auto"/>
          <w:lang w:val="en-US" w:eastAsia="zh-CN"/>
        </w:rPr>
        <w:t>384.21</w:t>
      </w:r>
      <w:r>
        <w:rPr>
          <w:rFonts w:hint="eastAsia" w:ascii="仿宋_GB2312" w:hAnsi="仿宋_GB2312" w:eastAsia="仿宋_GB2312" w:cs="仿宋_GB2312"/>
          <w:color w:val="auto"/>
          <w:spacing w:val="-5"/>
          <w:sz w:val="32"/>
          <w:szCs w:val="32"/>
        </w:rPr>
        <w:t>万元，主要用于</w:t>
      </w:r>
      <w:r>
        <w:rPr>
          <w:rFonts w:hint="eastAsia" w:ascii="仿宋_GB2312" w:hAnsi="仿宋_GB2312" w:eastAsia="仿宋_GB2312" w:cs="仿宋_GB2312"/>
          <w:color w:val="auto"/>
          <w:sz w:val="32"/>
          <w:szCs w:val="32"/>
          <w:u w:val="none"/>
          <w:lang w:val="en-US" w:eastAsia="zh-CN"/>
        </w:rPr>
        <w:t>在职人员的基本工资薪酬、本单位日常办公机构运行及科学技术普及、基层科普行动计划项目等方面的支出。</w:t>
      </w:r>
      <w:r>
        <w:rPr>
          <w:rFonts w:hint="eastAsia" w:ascii="仿宋_GB2312" w:hAnsi="仿宋_GB2312" w:eastAsia="仿宋_GB2312" w:cs="仿宋_GB2312"/>
          <w:color w:val="auto"/>
          <w:spacing w:val="-5"/>
          <w:sz w:val="32"/>
          <w:szCs w:val="32"/>
        </w:rPr>
        <w:t>与</w:t>
      </w:r>
      <w:r>
        <w:rPr>
          <w:rFonts w:hint="eastAsia" w:ascii="仿宋_GB2312" w:hAnsi="仿宋_GB2312" w:eastAsia="仿宋_GB2312" w:cs="仿宋_GB2312"/>
          <w:color w:val="auto"/>
          <w:spacing w:val="5"/>
          <w:sz w:val="32"/>
          <w:szCs w:val="32"/>
        </w:rPr>
        <w:t>上年相比增加</w:t>
      </w:r>
      <w:r>
        <w:rPr>
          <w:rFonts w:hint="eastAsia" w:ascii="仿宋_GB2312" w:hAnsi="仿宋_GB2312" w:eastAsia="仿宋_GB2312" w:cs="仿宋_GB2312"/>
          <w:color w:val="auto"/>
          <w:spacing w:val="5"/>
          <w:sz w:val="32"/>
          <w:szCs w:val="32"/>
          <w:u w:val="single" w:color="auto"/>
          <w:lang w:val="en-US" w:eastAsia="zh-CN"/>
        </w:rPr>
        <w:t>16.48</w:t>
      </w:r>
      <w:r>
        <w:rPr>
          <w:rFonts w:hint="eastAsia" w:ascii="仿宋_GB2312" w:hAnsi="仿宋_GB2312" w:eastAsia="仿宋_GB2312" w:cs="仿宋_GB2312"/>
          <w:color w:val="auto"/>
          <w:spacing w:val="5"/>
          <w:sz w:val="32"/>
          <w:szCs w:val="32"/>
        </w:rPr>
        <w:t>万元，增长</w:t>
      </w:r>
      <w:r>
        <w:rPr>
          <w:rFonts w:hint="eastAsia" w:ascii="仿宋_GB2312" w:hAnsi="仿宋_GB2312" w:eastAsia="仿宋_GB2312" w:cs="仿宋_GB2312"/>
          <w:color w:val="auto"/>
          <w:spacing w:val="5"/>
          <w:sz w:val="32"/>
          <w:szCs w:val="32"/>
          <w:u w:val="single"/>
          <w:lang w:val="en-US" w:eastAsia="zh-CN"/>
        </w:rPr>
        <w:t>4.48</w:t>
      </w:r>
      <w:r>
        <w:rPr>
          <w:rFonts w:hint="eastAsia" w:ascii="仿宋_GB2312" w:hAnsi="仿宋_GB2312" w:eastAsia="仿宋_GB2312" w:cs="仿宋_GB2312"/>
          <w:color w:val="auto"/>
          <w:spacing w:val="5"/>
          <w:sz w:val="32"/>
          <w:szCs w:val="32"/>
        </w:rPr>
        <w:t>%。主</w:t>
      </w:r>
      <w:r>
        <w:rPr>
          <w:rFonts w:hint="eastAsia" w:ascii="仿宋_GB2312" w:hAnsi="仿宋_GB2312" w:eastAsia="仿宋_GB2312" w:cs="仿宋_GB2312"/>
          <w:color w:val="auto"/>
          <w:spacing w:val="3"/>
          <w:sz w:val="32"/>
          <w:szCs w:val="32"/>
        </w:rPr>
        <w:t>要</w:t>
      </w:r>
      <w:r>
        <w:rPr>
          <w:rFonts w:hint="eastAsia" w:ascii="仿宋_GB2312" w:hAnsi="仿宋_GB2312" w:eastAsia="仿宋_GB2312" w:cs="仿宋_GB2312"/>
          <w:color w:val="auto"/>
          <w:sz w:val="32"/>
          <w:szCs w:val="32"/>
        </w:rPr>
        <w:t>原</w:t>
      </w:r>
      <w:r>
        <w:rPr>
          <w:rFonts w:hint="eastAsia" w:ascii="仿宋_GB2312" w:hAnsi="仿宋_GB2312" w:eastAsia="仿宋_GB2312" w:cs="仿宋_GB2312"/>
          <w:color w:val="auto"/>
          <w:spacing w:val="-24"/>
          <w:sz w:val="32"/>
          <w:szCs w:val="32"/>
        </w:rPr>
        <w:t>因</w:t>
      </w:r>
      <w:r>
        <w:rPr>
          <w:rFonts w:hint="eastAsia" w:ascii="仿宋_GB2312" w:hAnsi="仿宋_GB2312" w:eastAsia="仿宋_GB2312" w:cs="仿宋_GB2312"/>
          <w:color w:val="auto"/>
          <w:spacing w:val="-24"/>
          <w:sz w:val="32"/>
          <w:szCs w:val="32"/>
          <w:lang w:eastAsia="zh-CN"/>
        </w:rPr>
        <w:t>：</w:t>
      </w:r>
      <w:r>
        <w:rPr>
          <w:rFonts w:hint="eastAsia" w:ascii="仿宋_GB2312" w:hAnsi="仿宋_GB2312" w:eastAsia="仿宋_GB2312" w:cs="仿宋_GB2312"/>
          <w:color w:val="auto"/>
          <w:spacing w:val="-102"/>
          <w:sz w:val="32"/>
          <w:szCs w:val="32"/>
        </w:rPr>
        <w:t xml:space="preserve"> </w:t>
      </w:r>
      <w:r>
        <w:rPr>
          <w:rFonts w:hint="eastAsia" w:ascii="仿宋_GB2312" w:hAnsi="仿宋_GB2312" w:eastAsia="仿宋_GB2312" w:cs="仿宋_GB2312"/>
          <w:color w:val="auto"/>
          <w:sz w:val="32"/>
          <w:szCs w:val="32"/>
          <w:u w:val="none"/>
          <w:lang w:val="en-US" w:eastAsia="zh-CN"/>
        </w:rPr>
        <w:t>一是本年度人员工资正常晋级，各项人员工资经费都相应增加；二是所属二级单位人员比上年增加2人；三是</w:t>
      </w:r>
      <w:r>
        <w:rPr>
          <w:rFonts w:hint="eastAsia" w:ascii="仿宋_GB2312" w:hAnsi="仿宋_GB2312" w:eastAsia="仿宋_GB2312" w:cs="仿宋_GB2312"/>
          <w:color w:val="auto"/>
          <w:sz w:val="32"/>
          <w:szCs w:val="32"/>
          <w:highlight w:val="none"/>
          <w:u w:val="none" w:color="auto"/>
          <w:lang w:val="en-US" w:eastAsia="zh-CN"/>
        </w:rPr>
        <w:t>本年转移支付项目资金较上年增加。</w:t>
      </w:r>
    </w:p>
    <w:p>
      <w:pPr>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pacing w:val="-5"/>
          <w:sz w:val="32"/>
          <w:szCs w:val="32"/>
          <w:lang w:val="en-US" w:eastAsia="zh-CN"/>
        </w:rPr>
        <w:t>社会保障和就业（类）支出</w:t>
      </w:r>
      <w:r>
        <w:rPr>
          <w:rFonts w:hint="eastAsia" w:ascii="仿宋_GB2312" w:hAnsi="仿宋_GB2312" w:eastAsia="仿宋_GB2312" w:cs="仿宋_GB2312"/>
          <w:color w:val="auto"/>
          <w:spacing w:val="-5"/>
          <w:sz w:val="32"/>
          <w:szCs w:val="32"/>
          <w:u w:val="single"/>
          <w:lang w:val="en-US" w:eastAsia="zh-CN"/>
        </w:rPr>
        <w:t>48.28</w:t>
      </w:r>
      <w:r>
        <w:rPr>
          <w:rFonts w:hint="eastAsia" w:ascii="仿宋_GB2312" w:hAnsi="仿宋_GB2312" w:eastAsia="仿宋_GB2312" w:cs="仿宋_GB2312"/>
          <w:color w:val="auto"/>
          <w:spacing w:val="-5"/>
          <w:sz w:val="32"/>
          <w:szCs w:val="32"/>
          <w:lang w:val="en-US" w:eastAsia="zh-CN"/>
        </w:rPr>
        <w:t>万元，主要用于职工养老保险的缴存及职业年金的缴费支出。与上年相比减少</w:t>
      </w:r>
      <w:r>
        <w:rPr>
          <w:rFonts w:hint="eastAsia" w:ascii="仿宋_GB2312" w:hAnsi="仿宋_GB2312" w:eastAsia="仿宋_GB2312" w:cs="仿宋_GB2312"/>
          <w:color w:val="auto"/>
          <w:spacing w:val="-5"/>
          <w:sz w:val="32"/>
          <w:szCs w:val="32"/>
          <w:u w:val="single"/>
          <w:lang w:val="en-US" w:eastAsia="zh-CN"/>
        </w:rPr>
        <w:t>5.6</w:t>
      </w:r>
      <w:r>
        <w:rPr>
          <w:rFonts w:hint="eastAsia" w:ascii="仿宋_GB2312" w:hAnsi="仿宋_GB2312" w:eastAsia="仿宋_GB2312" w:cs="仿宋_GB2312"/>
          <w:color w:val="auto"/>
          <w:spacing w:val="-5"/>
          <w:sz w:val="32"/>
          <w:szCs w:val="32"/>
          <w:lang w:val="en-US" w:eastAsia="zh-CN"/>
        </w:rPr>
        <w:t>万元，减少</w:t>
      </w:r>
      <w:r>
        <w:rPr>
          <w:rFonts w:hint="eastAsia" w:ascii="仿宋_GB2312" w:hAnsi="仿宋_GB2312" w:eastAsia="仿宋_GB2312" w:cs="仿宋_GB2312"/>
          <w:color w:val="auto"/>
          <w:spacing w:val="-5"/>
          <w:sz w:val="32"/>
          <w:szCs w:val="32"/>
          <w:u w:val="single"/>
          <w:lang w:val="en-US" w:eastAsia="zh-CN"/>
        </w:rPr>
        <w:t xml:space="preserve">10.39 </w:t>
      </w:r>
      <w:r>
        <w:rPr>
          <w:rFonts w:hint="eastAsia" w:ascii="仿宋_GB2312" w:hAnsi="仿宋_GB2312" w:eastAsia="仿宋_GB2312" w:cs="仿宋_GB2312"/>
          <w:color w:val="auto"/>
          <w:spacing w:val="-5"/>
          <w:sz w:val="32"/>
          <w:szCs w:val="32"/>
          <w:lang w:val="en-US" w:eastAsia="zh-CN"/>
        </w:rPr>
        <w:t>%。主要原因：本年度本级单位增加2名退休人员。</w:t>
      </w:r>
    </w:p>
    <w:p>
      <w:pPr>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（3）卫生健康支出（类）</w:t>
      </w:r>
      <w:r>
        <w:rPr>
          <w:rFonts w:hint="eastAsia" w:ascii="仿宋_GB2312" w:hAnsi="仿宋_GB2312" w:eastAsia="仿宋_GB2312" w:cs="仿宋_GB2312"/>
          <w:color w:val="auto"/>
          <w:sz w:val="32"/>
          <w:szCs w:val="32"/>
          <w:u w:val="single"/>
          <w:lang w:val="en-US" w:eastAsia="zh-CN"/>
        </w:rPr>
        <w:t>25.74</w:t>
      </w:r>
      <w:r>
        <w:rPr>
          <w:rFonts w:hint="eastAsia" w:ascii="仿宋_GB2312" w:hAnsi="仿宋_GB2312" w:eastAsia="仿宋_GB2312" w:cs="仿宋_GB2312"/>
          <w:color w:val="auto"/>
          <w:sz w:val="32"/>
          <w:szCs w:val="32"/>
          <w:u w:val="none"/>
          <w:lang w:val="en-US" w:eastAsia="zh-CN"/>
        </w:rPr>
        <w:t>万元，主要用于本部门职工基本医疗保险缴费及公务员医疗补助等医疗方面的支出。与上年相比减少</w:t>
      </w:r>
      <w:r>
        <w:rPr>
          <w:rFonts w:hint="eastAsia" w:ascii="仿宋_GB2312" w:hAnsi="仿宋_GB2312" w:eastAsia="仿宋_GB2312" w:cs="仿宋_GB2312"/>
          <w:color w:val="auto"/>
          <w:sz w:val="32"/>
          <w:szCs w:val="32"/>
          <w:u w:val="single"/>
          <w:lang w:val="en-US" w:eastAsia="zh-CN"/>
        </w:rPr>
        <w:t xml:space="preserve"> 4.19</w:t>
      </w:r>
      <w:r>
        <w:rPr>
          <w:rFonts w:hint="eastAsia" w:ascii="仿宋_GB2312" w:hAnsi="仿宋_GB2312" w:eastAsia="仿宋_GB2312" w:cs="仿宋_GB2312"/>
          <w:color w:val="auto"/>
          <w:sz w:val="32"/>
          <w:szCs w:val="32"/>
          <w:u w:val="none"/>
          <w:lang w:val="en-US" w:eastAsia="zh-CN"/>
        </w:rPr>
        <w:t>万元，减少</w:t>
      </w:r>
      <w:r>
        <w:rPr>
          <w:rFonts w:hint="eastAsia" w:ascii="仿宋_GB2312" w:hAnsi="仿宋_GB2312" w:eastAsia="仿宋_GB2312" w:cs="仿宋_GB2312"/>
          <w:color w:val="auto"/>
          <w:sz w:val="32"/>
          <w:szCs w:val="32"/>
          <w:u w:val="single"/>
          <w:lang w:val="en-US" w:eastAsia="zh-CN"/>
        </w:rPr>
        <w:t>14.00</w:t>
      </w:r>
      <w:r>
        <w:rPr>
          <w:rFonts w:hint="eastAsia" w:ascii="仿宋_GB2312" w:hAnsi="仿宋_GB2312" w:eastAsia="仿宋_GB2312" w:cs="仿宋_GB2312"/>
          <w:color w:val="auto"/>
          <w:sz w:val="32"/>
          <w:szCs w:val="32"/>
          <w:u w:val="none"/>
          <w:lang w:val="en-US" w:eastAsia="zh-CN"/>
        </w:rPr>
        <w:t>%。主要原因是</w:t>
      </w:r>
      <w:r>
        <w:rPr>
          <w:rFonts w:hint="eastAsia" w:ascii="仿宋_GB2312" w:hAnsi="仿宋_GB2312" w:eastAsia="仿宋_GB2312" w:cs="仿宋_GB2312"/>
          <w:color w:val="auto"/>
          <w:spacing w:val="-5"/>
          <w:sz w:val="32"/>
          <w:szCs w:val="32"/>
          <w:lang w:val="en-US" w:eastAsia="zh-CN"/>
        </w:rPr>
        <w:t>本年度本级单位增加2名退休人员。</w:t>
      </w:r>
    </w:p>
    <w:p>
      <w:pPr>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（4）住房保障（类）支出</w:t>
      </w:r>
      <w:r>
        <w:rPr>
          <w:rFonts w:hint="eastAsia" w:ascii="仿宋_GB2312" w:hAnsi="仿宋_GB2312" w:eastAsia="仿宋_GB2312" w:cs="仿宋_GB2312"/>
          <w:color w:val="auto"/>
          <w:sz w:val="32"/>
          <w:szCs w:val="32"/>
          <w:u w:val="single"/>
          <w:lang w:val="en-US" w:eastAsia="zh-CN"/>
        </w:rPr>
        <w:t>38.81</w:t>
      </w:r>
      <w:r>
        <w:rPr>
          <w:rFonts w:hint="eastAsia" w:ascii="仿宋_GB2312" w:hAnsi="仿宋_GB2312" w:eastAsia="仿宋_GB2312" w:cs="仿宋_GB2312"/>
          <w:color w:val="auto"/>
          <w:sz w:val="32"/>
          <w:szCs w:val="32"/>
          <w:u w:val="none"/>
          <w:lang w:val="en-US" w:eastAsia="zh-CN"/>
        </w:rPr>
        <w:t>万元，主要用于本部门职工住房公积金缴费及购房补贴支出。与上年相比增加</w:t>
      </w:r>
      <w:r>
        <w:rPr>
          <w:rFonts w:hint="eastAsia" w:ascii="仿宋_GB2312" w:hAnsi="仿宋_GB2312" w:eastAsia="仿宋_GB2312" w:cs="仿宋_GB2312"/>
          <w:color w:val="auto"/>
          <w:sz w:val="32"/>
          <w:szCs w:val="32"/>
          <w:u w:val="single"/>
          <w:lang w:val="en-US" w:eastAsia="zh-CN"/>
        </w:rPr>
        <w:t>1.53</w:t>
      </w:r>
      <w:r>
        <w:rPr>
          <w:rFonts w:hint="eastAsia" w:ascii="仿宋_GB2312" w:hAnsi="仿宋_GB2312" w:eastAsia="仿宋_GB2312" w:cs="仿宋_GB2312"/>
          <w:color w:val="auto"/>
          <w:sz w:val="32"/>
          <w:szCs w:val="32"/>
          <w:u w:val="none"/>
          <w:lang w:val="en-US" w:eastAsia="zh-CN"/>
        </w:rPr>
        <w:t>万元，增加</w:t>
      </w:r>
      <w:r>
        <w:rPr>
          <w:rFonts w:hint="eastAsia" w:ascii="仿宋_GB2312" w:hAnsi="仿宋_GB2312" w:eastAsia="仿宋_GB2312" w:cs="仿宋_GB2312"/>
          <w:color w:val="auto"/>
          <w:sz w:val="32"/>
          <w:szCs w:val="32"/>
          <w:u w:val="single"/>
          <w:lang w:val="en-US" w:eastAsia="zh-CN"/>
        </w:rPr>
        <w:t>4.10</w:t>
      </w:r>
      <w:r>
        <w:rPr>
          <w:rFonts w:hint="eastAsia" w:ascii="仿宋_GB2312" w:hAnsi="仿宋_GB2312" w:eastAsia="仿宋_GB2312" w:cs="仿宋_GB2312"/>
          <w:color w:val="auto"/>
          <w:sz w:val="32"/>
          <w:szCs w:val="32"/>
          <w:u w:val="none"/>
          <w:lang w:val="en-US" w:eastAsia="zh-CN"/>
        </w:rPr>
        <w:t>%。主要原因是本年度人员比上年增加，人员工资正常晋级，住房公积金缴费基数比上年增加，因此住房保障列支相应增加。</w:t>
      </w:r>
    </w:p>
    <w:p>
      <w:pPr>
        <w:pageBreakBefore w:val="0"/>
        <w:kinsoku/>
        <w:wordWrap/>
        <w:overflowPunct/>
        <w:topLinePunct w:val="0"/>
        <w:autoSpaceDE/>
        <w:autoSpaceDN/>
        <w:bidi w:val="0"/>
        <w:adjustRightInd/>
        <w:spacing w:line="360" w:lineRule="auto"/>
        <w:ind w:left="0" w:leftChars="0" w:right="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2．年</w:t>
      </w:r>
      <w:r>
        <w:rPr>
          <w:rFonts w:hint="eastAsia" w:ascii="仿宋_GB2312" w:hAnsi="仿宋_GB2312" w:eastAsia="仿宋_GB2312" w:cs="仿宋_GB2312"/>
          <w:spacing w:val="-7"/>
          <w:sz w:val="32"/>
          <w:szCs w:val="32"/>
        </w:rPr>
        <w:t>终</w:t>
      </w:r>
      <w:r>
        <w:rPr>
          <w:rFonts w:hint="eastAsia" w:ascii="仿宋_GB2312" w:hAnsi="仿宋_GB2312" w:eastAsia="仿宋_GB2312" w:cs="仿宋_GB2312"/>
          <w:spacing w:val="-4"/>
          <w:sz w:val="32"/>
          <w:szCs w:val="32"/>
        </w:rPr>
        <w:t>结转结余</w:t>
      </w:r>
      <w:r>
        <w:rPr>
          <w:rFonts w:hint="eastAsia" w:ascii="仿宋_GB2312" w:hAnsi="仿宋_GB2312" w:eastAsia="仿宋_GB2312" w:cs="仿宋_GB2312"/>
          <w:spacing w:val="-4"/>
          <w:sz w:val="32"/>
          <w:szCs w:val="32"/>
          <w:u w:val="single" w:color="auto"/>
        </w:rPr>
        <w:t xml:space="preserve"> </w:t>
      </w:r>
      <w:r>
        <w:rPr>
          <w:rFonts w:hint="eastAsia" w:ascii="仿宋_GB2312" w:hAnsi="仿宋_GB2312" w:eastAsia="仿宋_GB2312" w:cs="仿宋_GB2312"/>
          <w:spacing w:val="-4"/>
          <w:sz w:val="32"/>
          <w:szCs w:val="32"/>
          <w:u w:val="single" w:color="auto"/>
          <w:lang w:val="en-US" w:eastAsia="zh-CN"/>
        </w:rPr>
        <w:t>0</w:t>
      </w:r>
      <w:r>
        <w:rPr>
          <w:rFonts w:hint="eastAsia" w:ascii="仿宋_GB2312" w:hAnsi="仿宋_GB2312" w:eastAsia="仿宋_GB2312" w:cs="仿宋_GB2312"/>
          <w:spacing w:val="-4"/>
          <w:sz w:val="32"/>
          <w:szCs w:val="32"/>
          <w:u w:val="single" w:color="auto"/>
        </w:rPr>
        <w:t xml:space="preserve"> </w:t>
      </w:r>
      <w:r>
        <w:rPr>
          <w:rFonts w:hint="eastAsia" w:ascii="仿宋_GB2312" w:hAnsi="仿宋_GB2312" w:eastAsia="仿宋_GB2312" w:cs="仿宋_GB2312"/>
          <w:spacing w:val="-4"/>
          <w:sz w:val="32"/>
          <w:szCs w:val="32"/>
        </w:rPr>
        <w:t>万元，主要原因是</w:t>
      </w:r>
      <w:r>
        <w:rPr>
          <w:rFonts w:hint="eastAsia" w:ascii="仿宋_GB2312" w:hAnsi="仿宋_GB2312" w:eastAsia="仿宋_GB2312" w:cs="仿宋_GB2312"/>
          <w:spacing w:val="-4"/>
          <w:sz w:val="32"/>
          <w:szCs w:val="32"/>
          <w:lang w:val="en-US" w:eastAsia="zh-CN"/>
        </w:rPr>
        <w:t>本年度本部门将按照预算编制完成全部人员、公用及项目经费列支</w:t>
      </w:r>
      <w:r>
        <w:rPr>
          <w:rFonts w:hint="eastAsia" w:ascii="仿宋_GB2312" w:hAnsi="仿宋_GB2312" w:eastAsia="仿宋_GB2312" w:cs="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eastAsia="黑体" w:cs="黑体"/>
          <w:b w:val="0"/>
          <w:bCs w:val="0"/>
          <w:sz w:val="32"/>
          <w:szCs w:val="32"/>
          <w:highlight w:val="none"/>
        </w:rPr>
      </w:pPr>
      <w:r>
        <w:rPr>
          <w:rFonts w:hint="eastAsia" w:eastAsia="黑体" w:cs="黑体"/>
          <w:b w:val="0"/>
          <w:bCs w:val="0"/>
          <w:sz w:val="32"/>
          <w:szCs w:val="32"/>
          <w:highlight w:val="none"/>
        </w:rPr>
        <w:t>二、收入预算情况说明</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年收入预算合计</w:t>
      </w:r>
      <w:r>
        <w:rPr>
          <w:rFonts w:hint="eastAsia" w:ascii="仿宋_GB2312" w:hAnsi="仿宋_GB2312" w:eastAsia="仿宋_GB2312" w:cs="仿宋_GB2312"/>
          <w:sz w:val="32"/>
          <w:szCs w:val="32"/>
          <w:u w:val="single"/>
          <w:lang w:val="en-US" w:eastAsia="zh-CN"/>
        </w:rPr>
        <w:t>497.03</w:t>
      </w:r>
      <w:r>
        <w:rPr>
          <w:rFonts w:hint="eastAsia" w:ascii="仿宋_GB2312" w:hAnsi="仿宋_GB2312" w:eastAsia="仿宋_GB2312" w:cs="仿宋_GB2312"/>
          <w:sz w:val="32"/>
          <w:szCs w:val="32"/>
        </w:rPr>
        <w:t>万元，包括本年收入</w:t>
      </w:r>
      <w:r>
        <w:rPr>
          <w:rFonts w:hint="eastAsia" w:ascii="仿宋_GB2312" w:hAnsi="仿宋_GB2312" w:eastAsia="仿宋_GB2312" w:cs="仿宋_GB2312"/>
          <w:sz w:val="32"/>
          <w:szCs w:val="32"/>
          <w:u w:val="single"/>
          <w:lang w:val="en-US" w:eastAsia="zh-CN"/>
        </w:rPr>
        <w:t>482.29</w:t>
      </w:r>
      <w:r>
        <w:rPr>
          <w:rFonts w:hint="eastAsia" w:ascii="仿宋_GB2312" w:hAnsi="仿宋_GB2312" w:eastAsia="仿宋_GB2312" w:cs="仿宋_GB2312"/>
          <w:sz w:val="32"/>
          <w:szCs w:val="32"/>
        </w:rPr>
        <w:t>万元，上年结转结余</w:t>
      </w:r>
      <w:r>
        <w:rPr>
          <w:rFonts w:hint="eastAsia" w:ascii="仿宋_GB2312" w:hAnsi="仿宋_GB2312" w:eastAsia="仿宋_GB2312" w:cs="仿宋_GB2312"/>
          <w:sz w:val="32"/>
          <w:szCs w:val="32"/>
          <w:u w:val="single"/>
          <w:lang w:val="en-US" w:eastAsia="zh-CN"/>
        </w:rPr>
        <w:t>14.74</w:t>
      </w:r>
      <w:r>
        <w:rPr>
          <w:rFonts w:hint="eastAsia" w:ascii="仿宋_GB2312" w:hAnsi="仿宋_GB2312" w:eastAsia="仿宋_GB2312" w:cs="仿宋_GB2312"/>
          <w:sz w:val="32"/>
          <w:szCs w:val="32"/>
        </w:rPr>
        <w:t>万元。其中：</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本年一般公共预算收入</w:t>
      </w:r>
      <w:r>
        <w:rPr>
          <w:rFonts w:hint="eastAsia" w:ascii="仿宋_GB2312" w:hAnsi="仿宋_GB2312" w:eastAsia="仿宋_GB2312" w:cs="仿宋_GB2312"/>
          <w:sz w:val="32"/>
          <w:szCs w:val="32"/>
          <w:u w:val="single"/>
          <w:lang w:val="en-US" w:eastAsia="zh-CN"/>
        </w:rPr>
        <w:t>482.29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97.03</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本年政府性基金预算收入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本年国有资本经营预算收入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本年财政专户管理资金</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本年事业收入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本年事业单位经营收入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本年上级补助收入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本年附属单位上缴收入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本年其他收入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上年结转结余的一般公共预算收入</w:t>
      </w:r>
      <w:r>
        <w:rPr>
          <w:rFonts w:hint="eastAsia" w:ascii="仿宋_GB2312" w:hAnsi="仿宋_GB2312" w:eastAsia="仿宋_GB2312" w:cs="仿宋_GB2312"/>
          <w:sz w:val="32"/>
          <w:szCs w:val="32"/>
          <w:u w:val="single"/>
          <w:lang w:val="en-US" w:eastAsia="zh-CN"/>
        </w:rPr>
        <w:t>14.74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2.97</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上年结转结余的政府性基金预算收入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上年结转结余的国有资本经营预算收入</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上年结转结余的财政专户管理资金</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上年结转结余的单位资金</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420" w:firstLineChars="200"/>
        <w:textAlignment w:val="auto"/>
        <w:rPr>
          <w:rFonts w:hint="eastAsia" w:ascii="仿宋_GB2312" w:hAnsi="仿宋_GB2312" w:eastAsia="仿宋_GB2312" w:cs="仿宋_GB2312"/>
          <w:sz w:val="32"/>
          <w:szCs w:val="32"/>
        </w:rPr>
      </w:pPr>
      <w:r>
        <w:drawing>
          <wp:inline distT="0" distB="0" distL="114300" distR="114300">
            <wp:extent cx="4826000" cy="2743200"/>
            <wp:effectExtent l="4445" t="4445" r="8255" b="14605"/>
            <wp:docPr id="2" name="图表 1"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eastAsia="黑体" w:cs="黑体"/>
          <w:b w:val="0"/>
          <w:bCs w:val="0"/>
          <w:sz w:val="32"/>
          <w:szCs w:val="32"/>
          <w:highlight w:val="none"/>
        </w:rPr>
      </w:pPr>
      <w:r>
        <w:rPr>
          <w:rFonts w:hint="eastAsia" w:eastAsia="黑体" w:cs="黑体"/>
          <w:b w:val="0"/>
          <w:bCs w:val="0"/>
          <w:sz w:val="32"/>
          <w:szCs w:val="32"/>
          <w:highlight w:val="none"/>
        </w:rPr>
        <w:t>三、支出预算情况说明</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年支出预算合计</w:t>
      </w:r>
      <w:r>
        <w:rPr>
          <w:rFonts w:hint="eastAsia" w:ascii="仿宋_GB2312" w:hAnsi="仿宋_GB2312" w:eastAsia="仿宋_GB2312" w:cs="仿宋_GB2312"/>
          <w:sz w:val="32"/>
          <w:szCs w:val="32"/>
          <w:u w:val="single"/>
          <w:lang w:val="en-US" w:eastAsia="zh-CN"/>
        </w:rPr>
        <w:t>497.03</w:t>
      </w:r>
      <w:r>
        <w:rPr>
          <w:rFonts w:hint="eastAsia" w:ascii="仿宋_GB2312" w:hAnsi="仿宋_GB2312" w:eastAsia="仿宋_GB2312" w:cs="仿宋_GB2312"/>
          <w:sz w:val="32"/>
          <w:szCs w:val="32"/>
        </w:rPr>
        <w:t>万元，其中：</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u w:val="single"/>
          <w:lang w:val="en-US" w:eastAsia="zh-CN"/>
        </w:rPr>
        <w:t>402.29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80.94</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u w:val="single"/>
          <w:lang w:val="en-US" w:eastAsia="zh-CN"/>
        </w:rPr>
        <w:t>94.74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19.06</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事业单位经营支出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420" w:firstLineChars="200"/>
        <w:textAlignment w:val="auto"/>
        <w:rPr>
          <w:rFonts w:hint="eastAsia" w:ascii="仿宋_GB2312" w:hAnsi="仿宋_GB2312" w:eastAsia="仿宋_GB2312" w:cs="仿宋_GB2312"/>
          <w:sz w:val="32"/>
          <w:szCs w:val="32"/>
        </w:rPr>
      </w:pPr>
      <w:r>
        <w:drawing>
          <wp:inline distT="0" distB="0" distL="114300" distR="114300">
            <wp:extent cx="4826000" cy="2743200"/>
            <wp:effectExtent l="4445" t="4445" r="8255" b="14605"/>
            <wp:docPr id="3" name="图表 2"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eastAsia="黑体" w:cs="黑体"/>
          <w:b w:val="0"/>
          <w:bCs w:val="0"/>
          <w:sz w:val="32"/>
          <w:szCs w:val="32"/>
          <w:highlight w:val="none"/>
        </w:rPr>
      </w:pPr>
      <w:r>
        <w:rPr>
          <w:rFonts w:hint="eastAsia" w:eastAsia="黑体" w:cs="黑体"/>
          <w:b w:val="0"/>
          <w:bCs w:val="0"/>
          <w:sz w:val="32"/>
          <w:szCs w:val="32"/>
          <w:highlight w:val="none"/>
        </w:rPr>
        <w:t>四、财政拨款收支预算总体情况说明</w:t>
      </w:r>
    </w:p>
    <w:p>
      <w:pPr>
        <w:pageBreakBefore w:val="0"/>
        <w:kinsoku/>
        <w:wordWrap/>
        <w:overflowPunct/>
        <w:topLinePunct w:val="0"/>
        <w:autoSpaceDE/>
        <w:autoSpaceDN/>
        <w:bidi w:val="0"/>
        <w:adjustRightInd/>
        <w:spacing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年度财政拨款收、支总预算</w:t>
      </w:r>
      <w:r>
        <w:rPr>
          <w:rFonts w:hint="eastAsia" w:ascii="仿宋_GB2312" w:hAnsi="仿宋_GB2312" w:eastAsia="仿宋_GB2312" w:cs="仿宋_GB2312"/>
          <w:sz w:val="32"/>
          <w:szCs w:val="32"/>
          <w:u w:val="single"/>
          <w:lang w:val="en-US" w:eastAsia="zh-CN"/>
        </w:rPr>
        <w:t>497.03</w:t>
      </w:r>
      <w:r>
        <w:rPr>
          <w:rFonts w:hint="eastAsia" w:ascii="仿宋_GB2312" w:hAnsi="仿宋_GB2312" w:eastAsia="仿宋_GB2312" w:cs="仿宋_GB2312"/>
          <w:sz w:val="32"/>
          <w:szCs w:val="32"/>
        </w:rPr>
        <w:t>万元。与上年相比，财政拨款收、支总计各增加</w:t>
      </w:r>
      <w:r>
        <w:rPr>
          <w:rFonts w:hint="eastAsia" w:ascii="仿宋_GB2312" w:hAnsi="仿宋_GB2312" w:eastAsia="仿宋_GB2312" w:cs="仿宋_GB2312"/>
          <w:sz w:val="32"/>
          <w:szCs w:val="32"/>
          <w:u w:val="single"/>
          <w:lang w:val="en-US" w:eastAsia="zh-CN"/>
        </w:rPr>
        <w:t>8.21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1.68</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u w:val="none"/>
          <w:lang w:val="en-US" w:eastAsia="zh-CN"/>
        </w:rPr>
        <w:t>本年度人员增加及工资正常晋级，各项人员经费都相应增加。</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3" w:firstLineChars="200"/>
        <w:textAlignment w:val="auto"/>
        <w:rPr>
          <w:rFonts w:hint="eastAsia" w:ascii="仿宋_GB2312" w:hAnsi="仿宋_GB2312" w:eastAsia="仿宋_GB2312" w:cs="仿宋_GB2312"/>
          <w:b/>
          <w:bCs/>
          <w:color w:val="auto"/>
          <w:sz w:val="32"/>
          <w:szCs w:val="32"/>
          <w:highlight w:val="yellow"/>
          <w:lang w:val="en-US" w:eastAsia="zh-CN"/>
        </w:rPr>
      </w:pPr>
      <w:r>
        <w:rPr>
          <w:rFonts w:hint="eastAsia" w:ascii="仿宋_GB2312" w:hAnsi="仿宋_GB2312" w:eastAsia="仿宋_GB2312" w:cs="仿宋_GB2312"/>
          <w:b/>
          <w:bCs/>
          <w:color w:val="auto"/>
          <w:sz w:val="32"/>
          <w:szCs w:val="32"/>
          <w:highlight w:val="none"/>
          <w:lang w:val="en-US" w:eastAsia="zh-CN"/>
        </w:rPr>
        <w:t>1.科学技术支出（206类）</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科学技术支出2024年</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u w:val="single"/>
          <w:lang w:val="en-US" w:eastAsia="zh-CN"/>
        </w:rPr>
        <w:t>384.21</w:t>
      </w:r>
      <w:r>
        <w:rPr>
          <w:rFonts w:hint="eastAsia" w:ascii="仿宋_GB2312" w:hAnsi="仿宋_GB2312" w:eastAsia="仿宋_GB2312" w:cs="仿宋_GB2312"/>
          <w:color w:val="auto"/>
          <w:sz w:val="32"/>
          <w:szCs w:val="32"/>
          <w:lang w:val="en-US" w:eastAsia="zh-CN"/>
        </w:rPr>
        <w:t>万元，与上年相比增加</w:t>
      </w:r>
      <w:r>
        <w:rPr>
          <w:rFonts w:hint="eastAsia" w:ascii="仿宋_GB2312" w:hAnsi="仿宋_GB2312" w:eastAsia="仿宋_GB2312" w:cs="仿宋_GB2312"/>
          <w:color w:val="auto"/>
          <w:sz w:val="32"/>
          <w:szCs w:val="32"/>
          <w:u w:val="single"/>
          <w:lang w:val="en-US" w:eastAsia="zh-CN"/>
        </w:rPr>
        <w:t>16.48</w:t>
      </w:r>
      <w:r>
        <w:rPr>
          <w:rFonts w:hint="eastAsia" w:ascii="仿宋_GB2312" w:hAnsi="仿宋_GB2312" w:eastAsia="仿宋_GB2312" w:cs="仿宋_GB2312"/>
          <w:color w:val="auto"/>
          <w:sz w:val="32"/>
          <w:szCs w:val="32"/>
          <w:lang w:val="en-US" w:eastAsia="zh-CN"/>
        </w:rPr>
        <w:t>万元，增加</w:t>
      </w:r>
      <w:r>
        <w:rPr>
          <w:rFonts w:hint="eastAsia" w:ascii="仿宋_GB2312" w:hAnsi="仿宋_GB2312" w:eastAsia="仿宋_GB2312" w:cs="仿宋_GB2312"/>
          <w:color w:val="auto"/>
          <w:sz w:val="32"/>
          <w:szCs w:val="32"/>
          <w:u w:val="single"/>
          <w:lang w:val="en-US" w:eastAsia="zh-CN"/>
        </w:rPr>
        <w:t>4.48</w:t>
      </w:r>
      <w:r>
        <w:rPr>
          <w:rFonts w:hint="eastAsia" w:ascii="仿宋_GB2312" w:hAnsi="仿宋_GB2312" w:eastAsia="仿宋_GB2312" w:cs="仿宋_GB2312"/>
          <w:color w:val="auto"/>
          <w:sz w:val="32"/>
          <w:szCs w:val="32"/>
          <w:lang w:val="en-US" w:eastAsia="zh-CN"/>
        </w:rPr>
        <w:t>%。变动</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color w:val="auto"/>
          <w:kern w:val="2"/>
          <w:sz w:val="32"/>
          <w:szCs w:val="32"/>
          <w:lang w:val="en-US" w:eastAsia="zh-CN"/>
        </w:rPr>
        <w:t>本年度</w:t>
      </w:r>
      <w:r>
        <w:rPr>
          <w:rFonts w:hint="eastAsia" w:ascii="仿宋_GB2312" w:hAnsi="仿宋_GB2312" w:eastAsia="仿宋_GB2312" w:cs="仿宋_GB2312"/>
          <w:color w:val="auto"/>
          <w:sz w:val="32"/>
          <w:szCs w:val="32"/>
          <w:u w:val="none"/>
          <w:lang w:val="en-US" w:eastAsia="zh-CN"/>
        </w:rPr>
        <w:t>人员增加及工资</w:t>
      </w:r>
      <w:r>
        <w:rPr>
          <w:rFonts w:hint="eastAsia" w:ascii="仿宋_GB2312" w:hAnsi="仿宋_GB2312" w:eastAsia="仿宋_GB2312" w:cs="仿宋_GB2312"/>
          <w:color w:val="auto"/>
          <w:kern w:val="2"/>
          <w:sz w:val="32"/>
          <w:szCs w:val="32"/>
          <w:lang w:val="en-US" w:eastAsia="zh-CN"/>
        </w:rPr>
        <w:t>正常晋级，人员经费等相应增加</w:t>
      </w:r>
      <w:r>
        <w:rPr>
          <w:rFonts w:hint="eastAsia" w:ascii="仿宋_GB2312" w:hAnsi="仿宋_GB2312" w:eastAsia="仿宋_GB2312" w:cs="仿宋_GB2312"/>
          <w:color w:val="auto"/>
          <w:sz w:val="32"/>
          <w:szCs w:val="32"/>
        </w:rPr>
        <w:t>。</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2.社会保障和就业支出（208类）</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社会保障和就业支出，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u w:val="single"/>
          <w:lang w:val="en-US" w:eastAsia="zh-CN"/>
        </w:rPr>
        <w:t>48.28</w:t>
      </w:r>
      <w:r>
        <w:rPr>
          <w:rFonts w:hint="eastAsia" w:ascii="仿宋_GB2312" w:hAnsi="仿宋_GB2312" w:eastAsia="仿宋_GB2312" w:cs="仿宋_GB2312"/>
          <w:color w:val="auto"/>
          <w:sz w:val="32"/>
          <w:szCs w:val="32"/>
          <w:lang w:val="en-US" w:eastAsia="zh-CN"/>
        </w:rPr>
        <w:t>万元，与上年相比减少</w:t>
      </w:r>
      <w:r>
        <w:rPr>
          <w:rFonts w:hint="eastAsia" w:ascii="仿宋_GB2312" w:hAnsi="仿宋_GB2312" w:eastAsia="仿宋_GB2312" w:cs="仿宋_GB2312"/>
          <w:color w:val="auto"/>
          <w:sz w:val="32"/>
          <w:szCs w:val="32"/>
          <w:u w:val="single"/>
          <w:lang w:val="en-US" w:eastAsia="zh-CN"/>
        </w:rPr>
        <w:t>5.6</w:t>
      </w:r>
      <w:r>
        <w:rPr>
          <w:rFonts w:hint="eastAsia" w:ascii="仿宋_GB2312" w:hAnsi="仿宋_GB2312" w:eastAsia="仿宋_GB2312" w:cs="仿宋_GB2312"/>
          <w:color w:val="auto"/>
          <w:sz w:val="32"/>
          <w:szCs w:val="32"/>
          <w:lang w:val="en-US" w:eastAsia="zh-CN"/>
        </w:rPr>
        <w:t>万元，增加</w:t>
      </w:r>
      <w:r>
        <w:rPr>
          <w:rFonts w:hint="eastAsia" w:ascii="仿宋_GB2312" w:hAnsi="仿宋_GB2312" w:eastAsia="仿宋_GB2312" w:cs="仿宋_GB2312"/>
          <w:color w:val="auto"/>
          <w:sz w:val="32"/>
          <w:szCs w:val="32"/>
          <w:u w:val="single"/>
          <w:lang w:val="en-US" w:eastAsia="zh-CN"/>
        </w:rPr>
        <w:t>10.39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变动</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color w:val="auto"/>
          <w:spacing w:val="-5"/>
          <w:sz w:val="32"/>
          <w:szCs w:val="32"/>
          <w:lang w:val="en-US" w:eastAsia="zh-CN"/>
        </w:rPr>
        <w:t>本年度本级单位增加2名退休人员。</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3.卫生健康支出（210类）</w:t>
      </w:r>
    </w:p>
    <w:p>
      <w:pPr>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卫生健康支出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u w:val="single"/>
          <w:lang w:val="en-US" w:eastAsia="zh-CN"/>
        </w:rPr>
        <w:t>25.74</w:t>
      </w:r>
      <w:r>
        <w:rPr>
          <w:rFonts w:hint="eastAsia" w:ascii="仿宋_GB2312" w:hAnsi="仿宋_GB2312" w:eastAsia="仿宋_GB2312" w:cs="仿宋_GB2312"/>
          <w:color w:val="auto"/>
          <w:sz w:val="32"/>
          <w:szCs w:val="32"/>
          <w:lang w:val="en-US" w:eastAsia="zh-CN"/>
        </w:rPr>
        <w:t>万元，与上年相比减少</w:t>
      </w:r>
      <w:r>
        <w:rPr>
          <w:rFonts w:hint="eastAsia" w:ascii="仿宋_GB2312" w:hAnsi="仿宋_GB2312" w:eastAsia="仿宋_GB2312" w:cs="仿宋_GB2312"/>
          <w:color w:val="auto"/>
          <w:sz w:val="32"/>
          <w:szCs w:val="32"/>
          <w:u w:val="single"/>
          <w:lang w:val="en-US" w:eastAsia="zh-CN"/>
        </w:rPr>
        <w:t>4.19</w:t>
      </w:r>
      <w:r>
        <w:rPr>
          <w:rFonts w:hint="eastAsia" w:ascii="仿宋_GB2312" w:hAnsi="仿宋_GB2312" w:eastAsia="仿宋_GB2312" w:cs="仿宋_GB2312"/>
          <w:color w:val="auto"/>
          <w:sz w:val="32"/>
          <w:szCs w:val="32"/>
          <w:lang w:val="en-US" w:eastAsia="zh-CN"/>
        </w:rPr>
        <w:t>万元，减少</w:t>
      </w:r>
      <w:r>
        <w:rPr>
          <w:rFonts w:hint="eastAsia" w:ascii="仿宋_GB2312" w:hAnsi="仿宋_GB2312" w:eastAsia="仿宋_GB2312" w:cs="仿宋_GB2312"/>
          <w:color w:val="auto"/>
          <w:sz w:val="32"/>
          <w:szCs w:val="32"/>
          <w:u w:val="single"/>
          <w:lang w:val="en-US" w:eastAsia="zh-CN"/>
        </w:rPr>
        <w:t>14.00</w:t>
      </w:r>
      <w:r>
        <w:rPr>
          <w:rFonts w:hint="eastAsia" w:ascii="仿宋_GB2312" w:hAnsi="仿宋_GB2312" w:eastAsia="仿宋_GB2312" w:cs="仿宋_GB2312"/>
          <w:color w:val="auto"/>
          <w:sz w:val="32"/>
          <w:szCs w:val="32"/>
          <w:u w:val="none"/>
          <w:lang w:val="en-US" w:eastAsia="zh-CN"/>
        </w:rPr>
        <w:t>%。主要原因是</w:t>
      </w:r>
      <w:r>
        <w:rPr>
          <w:rFonts w:hint="eastAsia" w:ascii="仿宋_GB2312" w:hAnsi="仿宋_GB2312" w:eastAsia="仿宋_GB2312" w:cs="仿宋_GB2312"/>
          <w:color w:val="auto"/>
          <w:spacing w:val="-5"/>
          <w:sz w:val="32"/>
          <w:szCs w:val="32"/>
          <w:lang w:val="en-US" w:eastAsia="zh-CN"/>
        </w:rPr>
        <w:t>本年度本级单位增加2名退休人员</w:t>
      </w:r>
      <w:r>
        <w:rPr>
          <w:rFonts w:hint="eastAsia" w:ascii="仿宋_GB2312" w:hAnsi="仿宋_GB2312" w:eastAsia="仿宋_GB2312" w:cs="仿宋_GB2312"/>
          <w:color w:val="auto"/>
          <w:sz w:val="32"/>
          <w:szCs w:val="32"/>
          <w:u w:val="none"/>
          <w:lang w:val="en-US" w:eastAsia="zh-CN"/>
        </w:rPr>
        <w:t>。</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4.住房保障支出（221类）</w:t>
      </w:r>
    </w:p>
    <w:p>
      <w:pPr>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住房保障（类）支出</w:t>
      </w:r>
      <w:r>
        <w:rPr>
          <w:rFonts w:hint="eastAsia" w:ascii="仿宋_GB2312" w:hAnsi="仿宋_GB2312" w:eastAsia="仿宋_GB2312" w:cs="仿宋_GB2312"/>
          <w:color w:val="auto"/>
          <w:sz w:val="32"/>
          <w:szCs w:val="32"/>
          <w:u w:val="single"/>
          <w:lang w:val="en-US" w:eastAsia="zh-CN"/>
        </w:rPr>
        <w:t>38.81</w:t>
      </w:r>
      <w:r>
        <w:rPr>
          <w:rFonts w:hint="eastAsia" w:ascii="仿宋_GB2312" w:hAnsi="仿宋_GB2312" w:eastAsia="仿宋_GB2312" w:cs="仿宋_GB2312"/>
          <w:color w:val="auto"/>
          <w:sz w:val="32"/>
          <w:szCs w:val="32"/>
          <w:u w:val="none"/>
          <w:lang w:val="en-US" w:eastAsia="zh-CN"/>
        </w:rPr>
        <w:t>万元，主要用于本部门职工住房公积金缴费及购房补贴支出。与上年相比增加</w:t>
      </w:r>
      <w:r>
        <w:rPr>
          <w:rFonts w:hint="eastAsia" w:ascii="仿宋_GB2312" w:hAnsi="仿宋_GB2312" w:eastAsia="仿宋_GB2312" w:cs="仿宋_GB2312"/>
          <w:color w:val="auto"/>
          <w:sz w:val="32"/>
          <w:szCs w:val="32"/>
          <w:u w:val="single"/>
          <w:lang w:val="en-US" w:eastAsia="zh-CN"/>
        </w:rPr>
        <w:t>1.53</w:t>
      </w:r>
      <w:r>
        <w:rPr>
          <w:rFonts w:hint="eastAsia" w:ascii="仿宋_GB2312" w:hAnsi="仿宋_GB2312" w:eastAsia="仿宋_GB2312" w:cs="仿宋_GB2312"/>
          <w:color w:val="auto"/>
          <w:sz w:val="32"/>
          <w:szCs w:val="32"/>
          <w:u w:val="none"/>
          <w:lang w:val="en-US" w:eastAsia="zh-CN"/>
        </w:rPr>
        <w:t>万元，增加</w:t>
      </w:r>
      <w:r>
        <w:rPr>
          <w:rFonts w:hint="eastAsia" w:ascii="仿宋_GB2312" w:hAnsi="仿宋_GB2312" w:eastAsia="仿宋_GB2312" w:cs="仿宋_GB2312"/>
          <w:color w:val="auto"/>
          <w:sz w:val="32"/>
          <w:szCs w:val="32"/>
          <w:u w:val="single"/>
          <w:lang w:val="en-US" w:eastAsia="zh-CN"/>
        </w:rPr>
        <w:t>4.10</w:t>
      </w:r>
      <w:r>
        <w:rPr>
          <w:rFonts w:hint="eastAsia" w:ascii="仿宋_GB2312" w:hAnsi="仿宋_GB2312" w:eastAsia="仿宋_GB2312" w:cs="仿宋_GB2312"/>
          <w:color w:val="auto"/>
          <w:sz w:val="32"/>
          <w:szCs w:val="32"/>
          <w:u w:val="none"/>
          <w:lang w:val="en-US" w:eastAsia="zh-CN"/>
        </w:rPr>
        <w:t>%。主要原因是本年度人员比上年增加，人员工资正常晋级，住房公积金缴费基数比上年增加，因此住房保障列支相应增加。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eastAsia="黑体" w:cs="黑体"/>
          <w:b w:val="0"/>
          <w:bCs w:val="0"/>
          <w:sz w:val="32"/>
          <w:szCs w:val="32"/>
          <w:highlight w:val="none"/>
        </w:rPr>
      </w:pPr>
      <w:r>
        <w:rPr>
          <w:rFonts w:hint="eastAsia" w:eastAsia="黑体" w:cs="黑体"/>
          <w:b w:val="0"/>
          <w:bCs w:val="0"/>
          <w:sz w:val="32"/>
          <w:szCs w:val="32"/>
          <w:highlight w:val="none"/>
        </w:rPr>
        <w:t>五、一般公共预算支出预算情况说明</w:t>
      </w:r>
    </w:p>
    <w:p>
      <w:pPr>
        <w:pageBreakBefore w:val="0"/>
        <w:kinsoku/>
        <w:wordWrap/>
        <w:overflowPunct/>
        <w:topLinePunct w:val="0"/>
        <w:autoSpaceDE/>
        <w:autoSpaceDN/>
        <w:bidi w:val="0"/>
        <w:adjustRightInd/>
        <w:spacing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年一般公共预算财政拨款支出预算</w:t>
      </w:r>
      <w:r>
        <w:rPr>
          <w:rFonts w:hint="eastAsia" w:ascii="仿宋_GB2312" w:hAnsi="仿宋_GB2312" w:eastAsia="仿宋_GB2312" w:cs="仿宋_GB2312"/>
          <w:sz w:val="32"/>
          <w:szCs w:val="32"/>
          <w:u w:val="single"/>
          <w:lang w:val="en-US" w:eastAsia="zh-CN"/>
        </w:rPr>
        <w:t>497.03</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8.21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1.68</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u w:val="none"/>
          <w:lang w:val="en-US" w:eastAsia="zh-CN"/>
        </w:rPr>
        <w:t>本年度人员增加及工资正常晋级，各项人员经费都相应增加。</w:t>
      </w:r>
    </w:p>
    <w:p>
      <w:pPr>
        <w:pageBreakBefore w:val="0"/>
        <w:widowControl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highlight w:val="yellow"/>
          <w:u w:val="none"/>
          <w:lang w:val="en-US" w:eastAsia="zh-CN"/>
        </w:rPr>
      </w:pPr>
      <w:r>
        <w:rPr>
          <w:rFonts w:hint="eastAsia" w:ascii="仿宋_GB2312" w:hAnsi="仿宋_GB2312" w:eastAsia="仿宋_GB2312" w:cs="仿宋_GB2312"/>
          <w:snapToGrid w:val="0"/>
          <w:color w:val="000000"/>
          <w:kern w:val="0"/>
          <w:sz w:val="32"/>
          <w:szCs w:val="32"/>
          <w:lang w:val="en-US" w:eastAsia="zh-CN"/>
        </w:rPr>
        <w:t>按照一般公共预算支出中的功能分类“项”级科目分别如下：</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1.科学技术支出（206类）</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（1）科学技术普及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20607</w:t>
      </w:r>
      <w:r>
        <w:rPr>
          <w:rFonts w:hint="eastAsia" w:ascii="仿宋_GB2312" w:hAnsi="仿宋_GB2312" w:eastAsia="仿宋_GB2312" w:cs="仿宋_GB2312"/>
          <w:color w:val="auto"/>
          <w:sz w:val="32"/>
          <w:szCs w:val="32"/>
          <w:lang w:eastAsia="zh-CN"/>
        </w:rPr>
        <w:t>款）</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lang w:eastAsia="zh-CN"/>
        </w:rPr>
        <w:t>运行（</w:t>
      </w:r>
      <w:r>
        <w:rPr>
          <w:rFonts w:hint="eastAsia" w:ascii="仿宋_GB2312" w:hAnsi="仿宋_GB2312" w:eastAsia="仿宋_GB2312" w:cs="仿宋_GB2312"/>
          <w:color w:val="auto"/>
          <w:sz w:val="32"/>
          <w:szCs w:val="32"/>
          <w:lang w:val="en-US" w:eastAsia="zh-CN"/>
        </w:rPr>
        <w:t>2060701</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u w:val="single"/>
          <w:lang w:val="en-US" w:eastAsia="zh-CN"/>
        </w:rPr>
        <w:t>289.46</w:t>
      </w:r>
      <w:r>
        <w:rPr>
          <w:rFonts w:hint="eastAsia" w:ascii="仿宋_GB2312" w:hAnsi="仿宋_GB2312" w:eastAsia="仿宋_GB2312" w:cs="仿宋_GB2312"/>
          <w:color w:val="auto"/>
          <w:sz w:val="32"/>
          <w:szCs w:val="32"/>
          <w:lang w:val="en-US" w:eastAsia="zh-CN"/>
        </w:rPr>
        <w:t>万元，与上年相比减少</w:t>
      </w:r>
      <w:r>
        <w:rPr>
          <w:rFonts w:hint="eastAsia" w:ascii="仿宋_GB2312" w:hAnsi="仿宋_GB2312" w:eastAsia="仿宋_GB2312" w:cs="仿宋_GB2312"/>
          <w:color w:val="auto"/>
          <w:sz w:val="32"/>
          <w:szCs w:val="32"/>
          <w:u w:val="single"/>
          <w:lang w:val="en-US" w:eastAsia="zh-CN"/>
        </w:rPr>
        <w:t>10.60</w:t>
      </w:r>
      <w:r>
        <w:rPr>
          <w:rFonts w:hint="eastAsia" w:ascii="仿宋_GB2312" w:hAnsi="仿宋_GB2312" w:eastAsia="仿宋_GB2312" w:cs="仿宋_GB2312"/>
          <w:color w:val="auto"/>
          <w:sz w:val="32"/>
          <w:szCs w:val="32"/>
          <w:lang w:val="en-US" w:eastAsia="zh-CN"/>
        </w:rPr>
        <w:t>万元，减少</w:t>
      </w:r>
      <w:r>
        <w:rPr>
          <w:rFonts w:hint="eastAsia" w:ascii="仿宋_GB2312" w:hAnsi="仿宋_GB2312" w:eastAsia="仿宋_GB2312" w:cs="仿宋_GB2312"/>
          <w:color w:val="auto"/>
          <w:sz w:val="32"/>
          <w:szCs w:val="32"/>
          <w:u w:val="single"/>
          <w:lang w:val="en-US" w:eastAsia="zh-CN"/>
        </w:rPr>
        <w:t>3.53</w:t>
      </w:r>
      <w:r>
        <w:rPr>
          <w:rFonts w:hint="eastAsia" w:ascii="仿宋_GB2312" w:hAnsi="仿宋_GB2312" w:eastAsia="仿宋_GB2312" w:cs="仿宋_GB2312"/>
          <w:color w:val="auto"/>
          <w:sz w:val="32"/>
          <w:szCs w:val="32"/>
          <w:lang w:val="en-US" w:eastAsia="zh-CN"/>
        </w:rPr>
        <w:t>%。变动</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color w:val="auto"/>
          <w:spacing w:val="-5"/>
          <w:sz w:val="32"/>
          <w:szCs w:val="32"/>
          <w:lang w:val="en-US" w:eastAsia="zh-CN"/>
        </w:rPr>
        <w:t>本年度本级单位增加2名退休人员</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pacing w:line="36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（2）科学技术普及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20607</w:t>
      </w:r>
      <w:r>
        <w:rPr>
          <w:rFonts w:hint="eastAsia" w:ascii="仿宋_GB2312" w:hAnsi="仿宋_GB2312" w:eastAsia="仿宋_GB2312" w:cs="仿宋_GB2312"/>
          <w:color w:val="auto"/>
          <w:sz w:val="32"/>
          <w:szCs w:val="32"/>
          <w:lang w:eastAsia="zh-CN"/>
        </w:rPr>
        <w:t>款）</w:t>
      </w:r>
      <w:r>
        <w:rPr>
          <w:rFonts w:hint="eastAsia" w:ascii="仿宋_GB2312" w:hAnsi="仿宋_GB2312" w:eastAsia="仿宋_GB2312" w:cs="仿宋_GB2312"/>
          <w:color w:val="auto"/>
          <w:sz w:val="32"/>
          <w:szCs w:val="32"/>
          <w:lang w:val="en-US" w:eastAsia="zh-CN"/>
        </w:rPr>
        <w:t>科普活动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2060702</w:t>
      </w:r>
      <w:r>
        <w:rPr>
          <w:rFonts w:hint="eastAsia" w:ascii="仿宋_GB2312" w:hAnsi="仿宋_GB2312" w:eastAsia="仿宋_GB2312" w:cs="仿宋_GB2312"/>
          <w:color w:val="auto"/>
          <w:sz w:val="32"/>
          <w:szCs w:val="32"/>
          <w:lang w:eastAsia="zh-CN"/>
        </w:rPr>
        <w:t>项）。年初预算</w:t>
      </w:r>
      <w:r>
        <w:rPr>
          <w:rFonts w:hint="eastAsia" w:ascii="仿宋_GB2312" w:hAnsi="仿宋_GB2312" w:eastAsia="仿宋_GB2312" w:cs="仿宋_GB2312"/>
          <w:color w:val="auto"/>
          <w:sz w:val="32"/>
          <w:szCs w:val="32"/>
          <w:u w:val="single"/>
          <w:lang w:val="en-US" w:eastAsia="zh-CN"/>
        </w:rPr>
        <w:t>94.74</w:t>
      </w:r>
      <w:r>
        <w:rPr>
          <w:rFonts w:hint="eastAsia" w:ascii="仿宋_GB2312" w:hAnsi="仿宋_GB2312" w:eastAsia="仿宋_GB2312" w:cs="仿宋_GB2312"/>
          <w:color w:val="auto"/>
          <w:sz w:val="32"/>
          <w:szCs w:val="32"/>
          <w:lang w:val="en-US" w:eastAsia="zh-CN"/>
        </w:rPr>
        <w:t>万元，与上年相比增加</w:t>
      </w:r>
      <w:r>
        <w:rPr>
          <w:rFonts w:hint="eastAsia" w:ascii="仿宋_GB2312" w:hAnsi="仿宋_GB2312" w:eastAsia="仿宋_GB2312" w:cs="仿宋_GB2312"/>
          <w:color w:val="auto"/>
          <w:sz w:val="32"/>
          <w:szCs w:val="32"/>
          <w:u w:val="single"/>
          <w:lang w:val="en-US" w:eastAsia="zh-CN"/>
        </w:rPr>
        <w:t>27.07</w:t>
      </w:r>
      <w:r>
        <w:rPr>
          <w:rFonts w:hint="eastAsia" w:ascii="仿宋_GB2312" w:hAnsi="仿宋_GB2312" w:eastAsia="仿宋_GB2312" w:cs="仿宋_GB2312"/>
          <w:color w:val="auto"/>
          <w:sz w:val="32"/>
          <w:szCs w:val="32"/>
          <w:lang w:val="en-US" w:eastAsia="zh-CN"/>
        </w:rPr>
        <w:t>万元，增加</w:t>
      </w:r>
      <w:r>
        <w:rPr>
          <w:rFonts w:hint="eastAsia" w:ascii="仿宋_GB2312" w:hAnsi="仿宋_GB2312" w:eastAsia="仿宋_GB2312" w:cs="仿宋_GB2312"/>
          <w:color w:val="auto"/>
          <w:sz w:val="32"/>
          <w:szCs w:val="32"/>
          <w:u w:val="single"/>
          <w:lang w:val="en-US" w:eastAsia="zh-CN"/>
        </w:rPr>
        <w:t>40.00</w:t>
      </w:r>
      <w:r>
        <w:rPr>
          <w:rFonts w:hint="eastAsia" w:ascii="仿宋_GB2312" w:hAnsi="仿宋_GB2312" w:eastAsia="仿宋_GB2312" w:cs="仿宋_GB2312"/>
          <w:color w:val="auto"/>
          <w:sz w:val="32"/>
          <w:szCs w:val="32"/>
          <w:lang w:val="en-US" w:eastAsia="zh-CN"/>
        </w:rPr>
        <w:t>%。变动</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color w:val="auto"/>
          <w:sz w:val="32"/>
          <w:szCs w:val="32"/>
          <w:highlight w:val="none"/>
          <w:u w:val="none" w:color="auto"/>
          <w:lang w:val="en-US" w:eastAsia="zh-CN"/>
        </w:rPr>
        <w:t>本年转移支付项目资金较上年增加。</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2.社会保障和就业支出（208类）</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（1）行政事业单位养老支出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20805</w:t>
      </w:r>
      <w:r>
        <w:rPr>
          <w:rFonts w:hint="eastAsia" w:ascii="仿宋_GB2312" w:hAnsi="仿宋_GB2312" w:eastAsia="仿宋_GB2312" w:cs="仿宋_GB2312"/>
          <w:color w:val="auto"/>
          <w:sz w:val="32"/>
          <w:szCs w:val="32"/>
          <w:lang w:eastAsia="zh-CN"/>
        </w:rPr>
        <w:t>款）</w:t>
      </w:r>
      <w:r>
        <w:rPr>
          <w:rFonts w:hint="eastAsia" w:ascii="仿宋_GB2312" w:hAnsi="仿宋_GB2312" w:eastAsia="仿宋_GB2312" w:cs="仿宋_GB2312"/>
          <w:color w:val="auto"/>
          <w:sz w:val="32"/>
          <w:szCs w:val="32"/>
          <w:lang w:val="en-US" w:eastAsia="zh-CN"/>
        </w:rPr>
        <w:t>行政单位离退休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2080501</w:t>
      </w:r>
      <w:r>
        <w:rPr>
          <w:rFonts w:hint="eastAsia" w:ascii="仿宋_GB2312" w:hAnsi="仿宋_GB2312" w:eastAsia="仿宋_GB2312" w:cs="仿宋_GB2312"/>
          <w:color w:val="auto"/>
          <w:sz w:val="32"/>
          <w:szCs w:val="32"/>
          <w:lang w:eastAsia="zh-CN"/>
        </w:rPr>
        <w:t>项）。年初预算</w:t>
      </w:r>
      <w:r>
        <w:rPr>
          <w:rFonts w:hint="eastAsia" w:ascii="仿宋_GB2312" w:hAnsi="仿宋_GB2312" w:eastAsia="仿宋_GB2312" w:cs="仿宋_GB2312"/>
          <w:color w:val="auto"/>
          <w:sz w:val="32"/>
          <w:szCs w:val="32"/>
          <w:u w:val="single"/>
          <w:lang w:val="en-US" w:eastAsia="zh-CN"/>
        </w:rPr>
        <w:t>16.47</w:t>
      </w:r>
      <w:r>
        <w:rPr>
          <w:rFonts w:hint="eastAsia" w:ascii="仿宋_GB2312" w:hAnsi="仿宋_GB2312" w:eastAsia="仿宋_GB2312" w:cs="仿宋_GB2312"/>
          <w:color w:val="auto"/>
          <w:sz w:val="32"/>
          <w:szCs w:val="32"/>
          <w:lang w:val="en-US" w:eastAsia="zh-CN"/>
        </w:rPr>
        <w:t>万元，与上年相比增加</w:t>
      </w:r>
      <w:r>
        <w:rPr>
          <w:rFonts w:hint="eastAsia" w:ascii="仿宋_GB2312" w:hAnsi="仿宋_GB2312" w:eastAsia="仿宋_GB2312" w:cs="仿宋_GB2312"/>
          <w:color w:val="auto"/>
          <w:sz w:val="32"/>
          <w:szCs w:val="32"/>
          <w:u w:val="single"/>
          <w:lang w:val="en-US" w:eastAsia="zh-CN"/>
        </w:rPr>
        <w:t>2.14</w:t>
      </w:r>
      <w:r>
        <w:rPr>
          <w:rFonts w:hint="eastAsia" w:ascii="仿宋_GB2312" w:hAnsi="仿宋_GB2312" w:eastAsia="仿宋_GB2312" w:cs="仿宋_GB2312"/>
          <w:color w:val="auto"/>
          <w:sz w:val="32"/>
          <w:szCs w:val="32"/>
          <w:lang w:val="en-US" w:eastAsia="zh-CN"/>
        </w:rPr>
        <w:t>万元，增加</w:t>
      </w:r>
      <w:r>
        <w:rPr>
          <w:rFonts w:hint="eastAsia" w:ascii="仿宋_GB2312" w:hAnsi="仿宋_GB2312" w:eastAsia="仿宋_GB2312" w:cs="仿宋_GB2312"/>
          <w:color w:val="auto"/>
          <w:sz w:val="32"/>
          <w:szCs w:val="32"/>
          <w:u w:val="single"/>
          <w:lang w:val="en-US" w:eastAsia="zh-CN"/>
        </w:rPr>
        <w:t>14.93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变动</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color w:val="auto"/>
          <w:spacing w:val="-5"/>
          <w:sz w:val="32"/>
          <w:szCs w:val="32"/>
          <w:lang w:val="en-US" w:eastAsia="zh-CN"/>
        </w:rPr>
        <w:t>本年度本级单位增加2名退休人员</w:t>
      </w:r>
      <w:r>
        <w:rPr>
          <w:rFonts w:hint="eastAsia" w:ascii="仿宋_GB2312" w:hAnsi="仿宋_GB2312" w:eastAsia="仿宋_GB2312" w:cs="仿宋_GB2312"/>
          <w:color w:val="auto"/>
          <w:kern w:val="2"/>
          <w:sz w:val="32"/>
          <w:szCs w:val="32"/>
          <w:lang w:val="en-US" w:eastAsia="zh-CN"/>
        </w:rPr>
        <w:t>。</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lang w:val="en-US" w:eastAsia="zh-CN"/>
        </w:rPr>
        <w:t>（2）行政事业单位养老支出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20805</w:t>
      </w:r>
      <w:r>
        <w:rPr>
          <w:rFonts w:hint="eastAsia" w:ascii="仿宋_GB2312" w:hAnsi="仿宋_GB2312" w:eastAsia="仿宋_GB2312" w:cs="仿宋_GB2312"/>
          <w:color w:val="auto"/>
          <w:sz w:val="32"/>
          <w:szCs w:val="32"/>
          <w:lang w:eastAsia="zh-CN"/>
        </w:rPr>
        <w:t>款）</w:t>
      </w:r>
      <w:r>
        <w:rPr>
          <w:rFonts w:hint="eastAsia" w:ascii="仿宋_GB2312" w:hAnsi="仿宋_GB2312" w:eastAsia="仿宋_GB2312" w:cs="仿宋_GB2312"/>
          <w:color w:val="auto"/>
          <w:sz w:val="32"/>
          <w:szCs w:val="32"/>
          <w:lang w:val="en-US" w:eastAsia="zh-CN"/>
        </w:rPr>
        <w:t>机关事业单位养老保险缴费支出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2080505</w:t>
      </w:r>
      <w:r>
        <w:rPr>
          <w:rFonts w:hint="eastAsia" w:ascii="仿宋_GB2312" w:hAnsi="仿宋_GB2312" w:eastAsia="仿宋_GB2312" w:cs="仿宋_GB2312"/>
          <w:color w:val="auto"/>
          <w:sz w:val="32"/>
          <w:szCs w:val="32"/>
          <w:lang w:eastAsia="zh-CN"/>
        </w:rPr>
        <w:t>项）。年初预算</w:t>
      </w:r>
      <w:r>
        <w:rPr>
          <w:rFonts w:hint="eastAsia" w:ascii="仿宋_GB2312" w:hAnsi="仿宋_GB2312" w:eastAsia="仿宋_GB2312" w:cs="仿宋_GB2312"/>
          <w:color w:val="auto"/>
          <w:sz w:val="32"/>
          <w:szCs w:val="32"/>
          <w:u w:val="single"/>
          <w:lang w:val="en-US" w:eastAsia="zh-CN"/>
        </w:rPr>
        <w:t>31.81</w:t>
      </w:r>
      <w:r>
        <w:rPr>
          <w:rFonts w:hint="eastAsia" w:ascii="仿宋_GB2312" w:hAnsi="仿宋_GB2312" w:eastAsia="仿宋_GB2312" w:cs="仿宋_GB2312"/>
          <w:color w:val="auto"/>
          <w:sz w:val="32"/>
          <w:szCs w:val="32"/>
          <w:lang w:val="en-US" w:eastAsia="zh-CN"/>
        </w:rPr>
        <w:t>万元，与上年相比减少</w:t>
      </w:r>
      <w:r>
        <w:rPr>
          <w:rFonts w:hint="eastAsia" w:ascii="仿宋_GB2312" w:hAnsi="仿宋_GB2312" w:eastAsia="仿宋_GB2312" w:cs="仿宋_GB2312"/>
          <w:color w:val="auto"/>
          <w:sz w:val="32"/>
          <w:szCs w:val="32"/>
          <w:u w:val="single"/>
          <w:lang w:val="en-US" w:eastAsia="zh-CN"/>
        </w:rPr>
        <w:t>0.75</w:t>
      </w:r>
      <w:r>
        <w:rPr>
          <w:rFonts w:hint="eastAsia" w:ascii="仿宋_GB2312" w:hAnsi="仿宋_GB2312" w:eastAsia="仿宋_GB2312" w:cs="仿宋_GB2312"/>
          <w:color w:val="auto"/>
          <w:sz w:val="32"/>
          <w:szCs w:val="32"/>
          <w:lang w:val="en-US" w:eastAsia="zh-CN"/>
        </w:rPr>
        <w:t>万元，减少</w:t>
      </w:r>
      <w:r>
        <w:rPr>
          <w:rFonts w:hint="eastAsia" w:ascii="仿宋_GB2312" w:hAnsi="仿宋_GB2312" w:eastAsia="仿宋_GB2312" w:cs="仿宋_GB2312"/>
          <w:color w:val="auto"/>
          <w:sz w:val="32"/>
          <w:szCs w:val="32"/>
          <w:u w:val="single"/>
          <w:lang w:val="en-US" w:eastAsia="zh-CN"/>
        </w:rPr>
        <w:t>2.30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变动</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color w:val="auto"/>
          <w:spacing w:val="-5"/>
          <w:sz w:val="32"/>
          <w:szCs w:val="32"/>
          <w:lang w:val="en-US" w:eastAsia="zh-CN"/>
        </w:rPr>
        <w:t>本年度本级单位增加2名退休人员</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sz w:val="32"/>
          <w:szCs w:val="32"/>
          <w:lang w:val="en-US" w:eastAsia="zh-CN"/>
        </w:rPr>
        <w:t>机关事业单位养老保险缴费支出相应减少</w:t>
      </w:r>
      <w:r>
        <w:rPr>
          <w:rFonts w:hint="eastAsia" w:ascii="仿宋_GB2312" w:hAnsi="仿宋_GB2312" w:eastAsia="仿宋_GB2312" w:cs="仿宋_GB2312"/>
          <w:color w:val="auto"/>
          <w:kern w:val="2"/>
          <w:sz w:val="32"/>
          <w:szCs w:val="32"/>
          <w:lang w:val="en-US" w:eastAsia="zh-CN"/>
        </w:rPr>
        <w:t>。</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3.卫生健康支出（210类）</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（1）行政事业单位医疗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21011</w:t>
      </w:r>
      <w:r>
        <w:rPr>
          <w:rFonts w:hint="eastAsia" w:ascii="仿宋_GB2312" w:hAnsi="仿宋_GB2312" w:eastAsia="仿宋_GB2312" w:cs="仿宋_GB2312"/>
          <w:color w:val="auto"/>
          <w:sz w:val="32"/>
          <w:szCs w:val="32"/>
          <w:lang w:eastAsia="zh-CN"/>
        </w:rPr>
        <w:t>款）行政</w:t>
      </w:r>
      <w:r>
        <w:rPr>
          <w:rFonts w:hint="eastAsia" w:ascii="仿宋_GB2312" w:hAnsi="仿宋_GB2312" w:eastAsia="仿宋_GB2312" w:cs="仿宋_GB2312"/>
          <w:color w:val="auto"/>
          <w:sz w:val="32"/>
          <w:szCs w:val="32"/>
          <w:lang w:val="en-US" w:eastAsia="zh-CN"/>
        </w:rPr>
        <w:t>单位医疗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2101101</w:t>
      </w:r>
      <w:r>
        <w:rPr>
          <w:rFonts w:hint="eastAsia" w:ascii="仿宋_GB2312" w:hAnsi="仿宋_GB2312" w:eastAsia="仿宋_GB2312" w:cs="仿宋_GB2312"/>
          <w:color w:val="auto"/>
          <w:sz w:val="32"/>
          <w:szCs w:val="32"/>
          <w:lang w:eastAsia="zh-CN"/>
        </w:rPr>
        <w:t>项）。年初预算</w:t>
      </w:r>
      <w:r>
        <w:rPr>
          <w:rFonts w:hint="eastAsia" w:ascii="仿宋_GB2312" w:hAnsi="仿宋_GB2312" w:eastAsia="仿宋_GB2312" w:cs="仿宋_GB2312"/>
          <w:color w:val="auto"/>
          <w:sz w:val="32"/>
          <w:szCs w:val="32"/>
          <w:u w:val="single"/>
          <w:lang w:val="en-US" w:eastAsia="zh-CN"/>
        </w:rPr>
        <w:t>20.35</w:t>
      </w:r>
      <w:r>
        <w:rPr>
          <w:rFonts w:hint="eastAsia" w:ascii="仿宋_GB2312" w:hAnsi="仿宋_GB2312" w:eastAsia="仿宋_GB2312" w:cs="仿宋_GB2312"/>
          <w:color w:val="auto"/>
          <w:sz w:val="32"/>
          <w:szCs w:val="32"/>
          <w:lang w:val="en-US" w:eastAsia="zh-CN"/>
        </w:rPr>
        <w:t>万元，与上年相比增加</w:t>
      </w:r>
      <w:r>
        <w:rPr>
          <w:rFonts w:hint="eastAsia" w:ascii="仿宋_GB2312" w:hAnsi="仿宋_GB2312" w:eastAsia="仿宋_GB2312" w:cs="仿宋_GB2312"/>
          <w:color w:val="auto"/>
          <w:sz w:val="32"/>
          <w:szCs w:val="32"/>
          <w:u w:val="single"/>
          <w:lang w:val="en-US" w:eastAsia="zh-CN"/>
        </w:rPr>
        <w:t>1.62</w:t>
      </w:r>
      <w:r>
        <w:rPr>
          <w:rFonts w:hint="eastAsia" w:ascii="仿宋_GB2312" w:hAnsi="仿宋_GB2312" w:eastAsia="仿宋_GB2312" w:cs="仿宋_GB2312"/>
          <w:color w:val="auto"/>
          <w:sz w:val="32"/>
          <w:szCs w:val="32"/>
          <w:lang w:val="en-US" w:eastAsia="zh-CN"/>
        </w:rPr>
        <w:t>万元，增加</w:t>
      </w:r>
      <w:r>
        <w:rPr>
          <w:rFonts w:hint="eastAsia" w:ascii="仿宋_GB2312" w:hAnsi="仿宋_GB2312" w:eastAsia="仿宋_GB2312" w:cs="仿宋_GB2312"/>
          <w:color w:val="auto"/>
          <w:sz w:val="32"/>
          <w:szCs w:val="32"/>
          <w:u w:val="single"/>
          <w:lang w:val="en-US" w:eastAsia="zh-CN"/>
        </w:rPr>
        <w:t>8.65</w:t>
      </w:r>
      <w:r>
        <w:rPr>
          <w:rFonts w:hint="eastAsia" w:ascii="仿宋_GB2312" w:hAnsi="仿宋_GB2312" w:eastAsia="仿宋_GB2312" w:cs="仿宋_GB2312"/>
          <w:color w:val="auto"/>
          <w:sz w:val="32"/>
          <w:szCs w:val="32"/>
          <w:lang w:val="en-US" w:eastAsia="zh-CN"/>
        </w:rPr>
        <w:t>%。变动原因：主要原因是是</w:t>
      </w:r>
      <w:r>
        <w:rPr>
          <w:rFonts w:hint="eastAsia" w:ascii="仿宋_GB2312" w:hAnsi="仿宋_GB2312" w:eastAsia="仿宋_GB2312" w:cs="仿宋_GB2312"/>
          <w:color w:val="auto"/>
          <w:kern w:val="2"/>
          <w:sz w:val="32"/>
          <w:szCs w:val="32"/>
          <w:lang w:val="en-US" w:eastAsia="zh-CN"/>
        </w:rPr>
        <w:t>人员工资正常晋级，缴费基数增加，</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lang w:val="en-US" w:eastAsia="zh-CN"/>
        </w:rPr>
        <w:t>单位医疗</w:t>
      </w:r>
      <w:r>
        <w:rPr>
          <w:rFonts w:hint="eastAsia" w:ascii="仿宋_GB2312" w:hAnsi="仿宋_GB2312" w:eastAsia="仿宋_GB2312" w:cs="仿宋_GB2312"/>
          <w:color w:val="auto"/>
          <w:kern w:val="2"/>
          <w:sz w:val="32"/>
          <w:szCs w:val="32"/>
          <w:lang w:val="en-US" w:eastAsia="zh-CN"/>
        </w:rPr>
        <w:t>缴费列支相应增加。</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（3）行政事业单位医疗（21011款）事业单位医疗（2101102项）。年初预算</w:t>
      </w:r>
      <w:r>
        <w:rPr>
          <w:rFonts w:hint="eastAsia" w:ascii="仿宋_GB2312" w:hAnsi="仿宋_GB2312" w:eastAsia="仿宋_GB2312" w:cs="仿宋_GB2312"/>
          <w:color w:val="auto"/>
          <w:sz w:val="32"/>
          <w:szCs w:val="32"/>
          <w:u w:val="single"/>
          <w:lang w:val="en-US" w:eastAsia="zh-CN"/>
        </w:rPr>
        <w:t>3.54</w:t>
      </w:r>
      <w:r>
        <w:rPr>
          <w:rFonts w:hint="eastAsia" w:ascii="仿宋_GB2312" w:hAnsi="仿宋_GB2312" w:eastAsia="仿宋_GB2312" w:cs="仿宋_GB2312"/>
          <w:color w:val="auto"/>
          <w:sz w:val="32"/>
          <w:szCs w:val="32"/>
          <w:lang w:val="en-US" w:eastAsia="zh-CN"/>
        </w:rPr>
        <w:t>万元，与上年相比增加</w:t>
      </w:r>
      <w:r>
        <w:rPr>
          <w:rFonts w:hint="eastAsia" w:ascii="仿宋_GB2312" w:hAnsi="仿宋_GB2312" w:eastAsia="仿宋_GB2312" w:cs="仿宋_GB2312"/>
          <w:color w:val="auto"/>
          <w:sz w:val="32"/>
          <w:szCs w:val="32"/>
          <w:u w:val="single"/>
          <w:lang w:val="en-US" w:eastAsia="zh-CN"/>
        </w:rPr>
        <w:t>0.76</w:t>
      </w:r>
      <w:r>
        <w:rPr>
          <w:rFonts w:hint="eastAsia" w:ascii="仿宋_GB2312" w:hAnsi="仿宋_GB2312" w:eastAsia="仿宋_GB2312" w:cs="仿宋_GB2312"/>
          <w:color w:val="auto"/>
          <w:sz w:val="32"/>
          <w:szCs w:val="32"/>
          <w:lang w:val="en-US" w:eastAsia="zh-CN"/>
        </w:rPr>
        <w:t>万元，增加</w:t>
      </w:r>
      <w:r>
        <w:rPr>
          <w:rFonts w:hint="eastAsia" w:ascii="仿宋_GB2312" w:hAnsi="仿宋_GB2312" w:eastAsia="仿宋_GB2312" w:cs="仿宋_GB2312"/>
          <w:color w:val="auto"/>
          <w:sz w:val="32"/>
          <w:szCs w:val="32"/>
          <w:u w:val="single"/>
          <w:lang w:val="en-US" w:eastAsia="zh-CN"/>
        </w:rPr>
        <w:t>27.34</w:t>
      </w:r>
      <w:r>
        <w:rPr>
          <w:rFonts w:hint="eastAsia" w:ascii="仿宋_GB2312" w:hAnsi="仿宋_GB2312" w:eastAsia="仿宋_GB2312" w:cs="仿宋_GB2312"/>
          <w:color w:val="auto"/>
          <w:sz w:val="32"/>
          <w:szCs w:val="32"/>
          <w:lang w:val="en-US" w:eastAsia="zh-CN"/>
        </w:rPr>
        <w:t>%。变动原因：一是本年度所属二级事业单位增加2人，二是人员工资正常晋级基数增长，事业单位医疗保险相应增加。</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（4）行政事业单位医疗（21011款）公务员医疗补助（2101103项）。年初预算</w:t>
      </w:r>
      <w:r>
        <w:rPr>
          <w:rFonts w:hint="eastAsia" w:ascii="仿宋_GB2312" w:hAnsi="仿宋_GB2312" w:eastAsia="仿宋_GB2312" w:cs="仿宋_GB2312"/>
          <w:color w:val="auto"/>
          <w:sz w:val="32"/>
          <w:szCs w:val="32"/>
          <w:u w:val="single"/>
          <w:lang w:val="en-US" w:eastAsia="zh-CN"/>
        </w:rPr>
        <w:t>1.84</w:t>
      </w:r>
      <w:r>
        <w:rPr>
          <w:rFonts w:hint="eastAsia" w:ascii="仿宋_GB2312" w:hAnsi="仿宋_GB2312" w:eastAsia="仿宋_GB2312" w:cs="仿宋_GB2312"/>
          <w:color w:val="auto"/>
          <w:sz w:val="32"/>
          <w:szCs w:val="32"/>
          <w:lang w:val="en-US" w:eastAsia="zh-CN"/>
        </w:rPr>
        <w:t>万元，与上年相比减少</w:t>
      </w:r>
      <w:r>
        <w:rPr>
          <w:rFonts w:hint="eastAsia" w:ascii="仿宋_GB2312" w:hAnsi="仿宋_GB2312" w:eastAsia="仿宋_GB2312" w:cs="仿宋_GB2312"/>
          <w:color w:val="auto"/>
          <w:sz w:val="32"/>
          <w:szCs w:val="32"/>
          <w:u w:val="single"/>
          <w:lang w:val="en-US" w:eastAsia="zh-CN"/>
        </w:rPr>
        <w:t>1.40</w:t>
      </w:r>
      <w:r>
        <w:rPr>
          <w:rFonts w:hint="eastAsia" w:ascii="仿宋_GB2312" w:hAnsi="仿宋_GB2312" w:eastAsia="仿宋_GB2312" w:cs="仿宋_GB2312"/>
          <w:color w:val="auto"/>
          <w:sz w:val="32"/>
          <w:szCs w:val="32"/>
          <w:lang w:val="en-US" w:eastAsia="zh-CN"/>
        </w:rPr>
        <w:t>万元，减少</w:t>
      </w:r>
      <w:r>
        <w:rPr>
          <w:rFonts w:hint="eastAsia" w:ascii="仿宋_GB2312" w:hAnsi="仿宋_GB2312" w:eastAsia="仿宋_GB2312" w:cs="仿宋_GB2312"/>
          <w:color w:val="auto"/>
          <w:sz w:val="32"/>
          <w:szCs w:val="32"/>
          <w:u w:val="single"/>
          <w:lang w:val="en-US" w:eastAsia="zh-CN"/>
        </w:rPr>
        <w:t>43.21</w:t>
      </w:r>
      <w:r>
        <w:rPr>
          <w:rFonts w:hint="eastAsia" w:ascii="仿宋_GB2312" w:hAnsi="仿宋_GB2312" w:eastAsia="仿宋_GB2312" w:cs="仿宋_GB2312"/>
          <w:color w:val="auto"/>
          <w:sz w:val="32"/>
          <w:szCs w:val="32"/>
          <w:lang w:val="en-US" w:eastAsia="zh-CN"/>
        </w:rPr>
        <w:t>%。变动原因：</w:t>
      </w:r>
      <w:r>
        <w:rPr>
          <w:rFonts w:hint="eastAsia" w:ascii="仿宋_GB2312" w:hAnsi="仿宋_GB2312" w:eastAsia="仿宋_GB2312" w:cs="仿宋_GB2312"/>
          <w:color w:val="auto"/>
          <w:spacing w:val="-5"/>
          <w:sz w:val="32"/>
          <w:szCs w:val="32"/>
          <w:lang w:val="en-US" w:eastAsia="zh-CN"/>
        </w:rPr>
        <w:t>本年度本级单位增加2名退休人员</w:t>
      </w:r>
      <w:r>
        <w:rPr>
          <w:rFonts w:hint="eastAsia" w:ascii="仿宋_GB2312" w:hAnsi="仿宋_GB2312" w:eastAsia="仿宋_GB2312" w:cs="仿宋_GB2312"/>
          <w:color w:val="auto"/>
          <w:kern w:val="2"/>
          <w:sz w:val="32"/>
          <w:szCs w:val="32"/>
          <w:lang w:val="en-US" w:eastAsia="zh-CN"/>
        </w:rPr>
        <w:t>。</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4.住房保障支出（221类）</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0070C0"/>
          <w:sz w:val="32"/>
          <w:szCs w:val="32"/>
          <w:lang w:val="en-US" w:eastAsia="zh-CN"/>
        </w:rPr>
      </w:pPr>
      <w:r>
        <w:rPr>
          <w:rFonts w:hint="eastAsia" w:ascii="仿宋_GB2312" w:hAnsi="仿宋_GB2312" w:eastAsia="仿宋_GB2312" w:cs="仿宋_GB2312"/>
          <w:color w:val="auto"/>
          <w:sz w:val="32"/>
          <w:szCs w:val="32"/>
          <w:lang w:val="en-US" w:eastAsia="zh-CN"/>
        </w:rPr>
        <w:t>（1）住房改革支出（22101款）住房公积金支出（2210201项）。年初预算</w:t>
      </w:r>
      <w:r>
        <w:rPr>
          <w:rFonts w:hint="eastAsia" w:ascii="仿宋_GB2312" w:hAnsi="仿宋_GB2312" w:eastAsia="仿宋_GB2312" w:cs="仿宋_GB2312"/>
          <w:color w:val="auto"/>
          <w:sz w:val="32"/>
          <w:szCs w:val="32"/>
          <w:u w:val="single"/>
          <w:lang w:val="en-US" w:eastAsia="zh-CN"/>
        </w:rPr>
        <w:t>30.31</w:t>
      </w:r>
      <w:r>
        <w:rPr>
          <w:rFonts w:hint="eastAsia" w:ascii="仿宋_GB2312" w:hAnsi="仿宋_GB2312" w:eastAsia="仿宋_GB2312" w:cs="仿宋_GB2312"/>
          <w:color w:val="auto"/>
          <w:sz w:val="32"/>
          <w:szCs w:val="32"/>
          <w:lang w:val="en-US" w:eastAsia="zh-CN"/>
        </w:rPr>
        <w:t>万元，与上年相比减少</w:t>
      </w:r>
      <w:r>
        <w:rPr>
          <w:rFonts w:hint="eastAsia" w:ascii="仿宋_GB2312" w:hAnsi="仿宋_GB2312" w:eastAsia="仿宋_GB2312" w:cs="仿宋_GB2312"/>
          <w:color w:val="auto"/>
          <w:sz w:val="32"/>
          <w:szCs w:val="32"/>
          <w:u w:val="single"/>
          <w:lang w:val="en-US" w:eastAsia="zh-CN"/>
        </w:rPr>
        <w:t>1.06</w:t>
      </w:r>
      <w:r>
        <w:rPr>
          <w:rFonts w:hint="eastAsia" w:ascii="仿宋_GB2312" w:hAnsi="仿宋_GB2312" w:eastAsia="仿宋_GB2312" w:cs="仿宋_GB2312"/>
          <w:color w:val="auto"/>
          <w:sz w:val="32"/>
          <w:szCs w:val="32"/>
          <w:lang w:val="en-US" w:eastAsia="zh-CN"/>
        </w:rPr>
        <w:t>万元，减少</w:t>
      </w:r>
      <w:r>
        <w:rPr>
          <w:rFonts w:hint="eastAsia" w:ascii="仿宋_GB2312" w:hAnsi="仿宋_GB2312" w:eastAsia="仿宋_GB2312" w:cs="仿宋_GB2312"/>
          <w:color w:val="auto"/>
          <w:sz w:val="32"/>
          <w:szCs w:val="32"/>
          <w:u w:val="single"/>
          <w:lang w:val="en-US" w:eastAsia="zh-CN"/>
        </w:rPr>
        <w:t>3.38</w:t>
      </w:r>
      <w:r>
        <w:rPr>
          <w:rFonts w:hint="eastAsia" w:ascii="仿宋_GB2312" w:hAnsi="仿宋_GB2312" w:eastAsia="仿宋_GB2312" w:cs="仿宋_GB2312"/>
          <w:color w:val="auto"/>
          <w:sz w:val="32"/>
          <w:szCs w:val="32"/>
          <w:lang w:val="en-US" w:eastAsia="zh-CN"/>
        </w:rPr>
        <w:t>%。变动原因：</w:t>
      </w:r>
      <w:r>
        <w:rPr>
          <w:rFonts w:hint="eastAsia" w:ascii="仿宋_GB2312" w:hAnsi="仿宋_GB2312" w:eastAsia="仿宋_GB2312" w:cs="仿宋_GB2312"/>
          <w:color w:val="auto"/>
          <w:spacing w:val="-5"/>
          <w:sz w:val="32"/>
          <w:szCs w:val="32"/>
          <w:lang w:val="en-US" w:eastAsia="zh-CN"/>
        </w:rPr>
        <w:t>本年度本级单位增加2名退休人员</w:t>
      </w:r>
      <w:r>
        <w:rPr>
          <w:rFonts w:hint="eastAsia" w:ascii="仿宋_GB2312" w:hAnsi="仿宋_GB2312" w:eastAsia="仿宋_GB2312" w:cs="仿宋_GB2312"/>
          <w:color w:val="auto"/>
          <w:sz w:val="32"/>
          <w:szCs w:val="32"/>
          <w:lang w:val="en-US" w:eastAsia="zh-CN"/>
        </w:rPr>
        <w:t>。</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（2）住房改革支出（22101款）购房补贴支出（2210203项）。年初预算</w:t>
      </w:r>
      <w:r>
        <w:rPr>
          <w:rFonts w:hint="eastAsia" w:ascii="仿宋_GB2312" w:hAnsi="仿宋_GB2312" w:eastAsia="仿宋_GB2312" w:cs="仿宋_GB2312"/>
          <w:color w:val="auto"/>
          <w:sz w:val="32"/>
          <w:szCs w:val="32"/>
          <w:u w:val="single"/>
          <w:lang w:val="en-US" w:eastAsia="zh-CN"/>
        </w:rPr>
        <w:t>8.5</w:t>
      </w:r>
      <w:r>
        <w:rPr>
          <w:rFonts w:hint="eastAsia" w:ascii="仿宋_GB2312" w:hAnsi="仿宋_GB2312" w:eastAsia="仿宋_GB2312" w:cs="仿宋_GB2312"/>
          <w:color w:val="auto"/>
          <w:sz w:val="32"/>
          <w:szCs w:val="32"/>
          <w:lang w:val="en-US" w:eastAsia="zh-CN"/>
        </w:rPr>
        <w:t>万元，与上年相比增加</w:t>
      </w:r>
      <w:r>
        <w:rPr>
          <w:rFonts w:hint="eastAsia" w:ascii="仿宋_GB2312" w:hAnsi="仿宋_GB2312" w:eastAsia="仿宋_GB2312" w:cs="仿宋_GB2312"/>
          <w:color w:val="auto"/>
          <w:sz w:val="32"/>
          <w:szCs w:val="32"/>
          <w:u w:val="single"/>
          <w:lang w:val="en-US" w:eastAsia="zh-CN"/>
        </w:rPr>
        <w:t>2.59</w:t>
      </w:r>
      <w:r>
        <w:rPr>
          <w:rFonts w:hint="eastAsia" w:ascii="仿宋_GB2312" w:hAnsi="仿宋_GB2312" w:eastAsia="仿宋_GB2312" w:cs="仿宋_GB2312"/>
          <w:color w:val="auto"/>
          <w:sz w:val="32"/>
          <w:szCs w:val="32"/>
          <w:lang w:val="en-US" w:eastAsia="zh-CN"/>
        </w:rPr>
        <w:t>万元，增加</w:t>
      </w:r>
      <w:r>
        <w:rPr>
          <w:rFonts w:hint="eastAsia" w:ascii="仿宋_GB2312" w:hAnsi="仿宋_GB2312" w:eastAsia="仿宋_GB2312" w:cs="仿宋_GB2312"/>
          <w:color w:val="auto"/>
          <w:sz w:val="32"/>
          <w:szCs w:val="32"/>
          <w:u w:val="single"/>
          <w:lang w:val="en-US" w:eastAsia="zh-CN"/>
        </w:rPr>
        <w:t>43.82</w:t>
      </w:r>
      <w:r>
        <w:rPr>
          <w:rFonts w:hint="eastAsia" w:ascii="仿宋_GB2312" w:hAnsi="仿宋_GB2312" w:eastAsia="仿宋_GB2312" w:cs="仿宋_GB2312"/>
          <w:color w:val="auto"/>
          <w:sz w:val="32"/>
          <w:szCs w:val="32"/>
          <w:lang w:val="en-US" w:eastAsia="zh-CN"/>
        </w:rPr>
        <w:t>%。变动原因：本年度所属二级事业单位增加2人、人员工资正常晋级，缴费基数增加，购房补贴列支相应增加。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eastAsia="黑体" w:cs="黑体"/>
          <w:b w:val="0"/>
          <w:bCs w:val="0"/>
          <w:sz w:val="32"/>
          <w:szCs w:val="32"/>
          <w:highlight w:val="none"/>
        </w:rPr>
      </w:pPr>
      <w:r>
        <w:rPr>
          <w:rFonts w:hint="eastAsia" w:eastAsia="黑体" w:cs="黑体"/>
          <w:b w:val="0"/>
          <w:bCs w:val="0"/>
          <w:sz w:val="32"/>
          <w:szCs w:val="32"/>
          <w:highlight w:val="none"/>
        </w:rPr>
        <w:t>六、一般公共预算基本支出预算情况说明</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年度一般公共预算财政拨款基本支出预算</w:t>
      </w:r>
      <w:r>
        <w:rPr>
          <w:rFonts w:hint="eastAsia" w:ascii="仿宋_GB2312" w:hAnsi="仿宋_GB2312" w:eastAsia="仿宋_GB2312" w:cs="仿宋_GB2312"/>
          <w:sz w:val="32"/>
          <w:szCs w:val="32"/>
          <w:u w:val="single"/>
          <w:lang w:val="en-US" w:eastAsia="zh-CN"/>
        </w:rPr>
        <w:t>402.29</w:t>
      </w:r>
      <w:r>
        <w:rPr>
          <w:rFonts w:hint="eastAsia" w:ascii="仿宋_GB2312" w:hAnsi="仿宋_GB2312" w:eastAsia="仿宋_GB2312" w:cs="仿宋_GB2312"/>
          <w:sz w:val="32"/>
          <w:szCs w:val="32"/>
        </w:rPr>
        <w:t>万元，其中：</w:t>
      </w:r>
    </w:p>
    <w:p>
      <w:pPr>
        <w:pStyle w:val="10"/>
        <w:keepNext w:val="0"/>
        <w:keepLines w:val="0"/>
        <w:pageBreakBefore w:val="0"/>
        <w:widowControl w:val="0"/>
        <w:numPr>
          <w:ilvl w:val="0"/>
          <w:numId w:val="0"/>
        </w:numPr>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（一）人员经费</w:t>
      </w:r>
      <w:r>
        <w:rPr>
          <w:rFonts w:hint="eastAsia" w:ascii="仿宋_GB2312" w:hAnsi="仿宋_GB2312" w:eastAsia="仿宋_GB2312" w:cs="仿宋_GB2312"/>
          <w:b/>
          <w:bCs/>
          <w:sz w:val="32"/>
          <w:szCs w:val="32"/>
          <w:u w:val="single"/>
          <w:lang w:val="en-US" w:eastAsia="zh-CN"/>
        </w:rPr>
        <w:t>366.16</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。主要包括：</w:t>
      </w:r>
      <w:r>
        <w:rPr>
          <w:rFonts w:hint="eastAsia" w:ascii="仿宋_GB2312" w:hAnsi="仿宋_GB2312" w:eastAsia="仿宋_GB2312" w:cs="仿宋_GB2312"/>
          <w:color w:val="000000" w:themeColor="text1"/>
          <w:sz w:val="32"/>
          <w:szCs w:val="32"/>
          <w14:textFill>
            <w14:solidFill>
              <w14:schemeClr w14:val="tx1"/>
            </w14:solidFill>
          </w14:textFill>
        </w:rPr>
        <w:t>基本工资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95.99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、津贴补贴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91.53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奖金</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27.15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绩效工资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22.32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sz w:val="32"/>
          <w:szCs w:val="32"/>
          <w:lang w:val="en-US" w:eastAsia="zh-CN"/>
        </w:rPr>
        <w:t>机关事业单位基本养老保险缴费</w:t>
      </w:r>
      <w:r>
        <w:rPr>
          <w:rFonts w:hint="eastAsia" w:ascii="仿宋_GB2312" w:hAnsi="仿宋_GB2312" w:eastAsia="仿宋_GB2312" w:cs="仿宋_GB2312"/>
          <w:sz w:val="32"/>
          <w:szCs w:val="32"/>
          <w:u w:val="single"/>
          <w:lang w:val="en-US" w:eastAsia="zh-CN"/>
        </w:rPr>
        <w:t>31.81</w:t>
      </w:r>
      <w:r>
        <w:rPr>
          <w:rFonts w:hint="eastAsia" w:ascii="仿宋_GB2312" w:hAnsi="仿宋_GB2312" w:eastAsia="仿宋_GB2312" w:cs="仿宋_GB2312"/>
          <w:sz w:val="32"/>
          <w:szCs w:val="32"/>
          <w:lang w:val="en-US" w:eastAsia="zh-CN"/>
        </w:rPr>
        <w:t>万元、职工基本医疗保险缴费</w:t>
      </w:r>
      <w:r>
        <w:rPr>
          <w:rFonts w:hint="eastAsia" w:ascii="仿宋_GB2312" w:hAnsi="仿宋_GB2312" w:eastAsia="仿宋_GB2312" w:cs="仿宋_GB2312"/>
          <w:sz w:val="32"/>
          <w:szCs w:val="32"/>
          <w:u w:val="single"/>
          <w:lang w:val="en-US" w:eastAsia="zh-CN"/>
        </w:rPr>
        <w:t>12.04</w:t>
      </w:r>
      <w:r>
        <w:rPr>
          <w:rFonts w:hint="eastAsia" w:ascii="仿宋_GB2312" w:hAnsi="仿宋_GB2312" w:eastAsia="仿宋_GB2312" w:cs="仿宋_GB2312"/>
          <w:sz w:val="32"/>
          <w:szCs w:val="32"/>
          <w:lang w:val="en-US" w:eastAsia="zh-CN"/>
        </w:rPr>
        <w:t>万元、公务员医疗补助缴费</w:t>
      </w:r>
      <w:r>
        <w:rPr>
          <w:rFonts w:hint="eastAsia" w:ascii="仿宋_GB2312" w:hAnsi="仿宋_GB2312" w:eastAsia="仿宋_GB2312" w:cs="仿宋_GB2312"/>
          <w:sz w:val="32"/>
          <w:szCs w:val="32"/>
          <w:u w:val="single"/>
          <w:lang w:val="en-US" w:eastAsia="zh-CN"/>
        </w:rPr>
        <w:t>1.84</w:t>
      </w:r>
      <w:r>
        <w:rPr>
          <w:rFonts w:hint="eastAsia" w:ascii="仿宋_GB2312" w:hAnsi="仿宋_GB2312" w:eastAsia="仿宋_GB2312" w:cs="仿宋_GB2312"/>
          <w:sz w:val="32"/>
          <w:szCs w:val="32"/>
          <w:lang w:val="en-US" w:eastAsia="zh-CN"/>
        </w:rPr>
        <w:t>万元、其他社会保障缴费</w:t>
      </w:r>
      <w:r>
        <w:rPr>
          <w:rFonts w:hint="eastAsia" w:ascii="仿宋_GB2312" w:hAnsi="仿宋_GB2312" w:eastAsia="仿宋_GB2312" w:cs="仿宋_GB2312"/>
          <w:sz w:val="32"/>
          <w:szCs w:val="32"/>
          <w:u w:val="single"/>
          <w:lang w:val="en-US" w:eastAsia="zh-CN"/>
        </w:rPr>
        <w:t>0.69</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u w:val="single"/>
          <w:lang w:val="en-US" w:eastAsia="zh-CN"/>
        </w:rPr>
        <w:t>30.31</w:t>
      </w:r>
      <w:r>
        <w:rPr>
          <w:rFonts w:hint="eastAsia" w:ascii="仿宋_GB2312" w:hAnsi="仿宋_GB2312" w:eastAsia="仿宋_GB2312" w:cs="仿宋_GB2312"/>
          <w:sz w:val="32"/>
          <w:szCs w:val="32"/>
          <w:lang w:val="en-US" w:eastAsia="zh-CN"/>
        </w:rPr>
        <w:t>万元、其他工资福利支出</w:t>
      </w:r>
      <w:r>
        <w:rPr>
          <w:rFonts w:hint="eastAsia" w:ascii="仿宋_GB2312" w:hAnsi="仿宋_GB2312" w:eastAsia="仿宋_GB2312" w:cs="仿宋_GB2312"/>
          <w:sz w:val="32"/>
          <w:szCs w:val="32"/>
          <w:u w:val="single"/>
          <w:lang w:val="en-US" w:eastAsia="zh-CN"/>
        </w:rPr>
        <w:t>24.16</w:t>
      </w:r>
      <w:r>
        <w:rPr>
          <w:rFonts w:hint="eastAsia" w:ascii="仿宋_GB2312" w:hAnsi="仿宋_GB2312" w:eastAsia="仿宋_GB2312" w:cs="仿宋_GB2312"/>
          <w:sz w:val="32"/>
          <w:szCs w:val="32"/>
          <w:lang w:val="en-US" w:eastAsia="zh-CN"/>
        </w:rPr>
        <w:t>万元、退休费</w:t>
      </w:r>
      <w:r>
        <w:rPr>
          <w:rFonts w:hint="eastAsia" w:ascii="仿宋_GB2312" w:hAnsi="仿宋_GB2312" w:eastAsia="仿宋_GB2312" w:cs="仿宋_GB2312"/>
          <w:sz w:val="32"/>
          <w:szCs w:val="32"/>
          <w:u w:val="single"/>
          <w:lang w:val="en-US" w:eastAsia="zh-CN"/>
        </w:rPr>
        <w:t>16.47</w:t>
      </w:r>
      <w:r>
        <w:rPr>
          <w:rFonts w:hint="eastAsia" w:ascii="仿宋_GB2312" w:hAnsi="仿宋_GB2312" w:eastAsia="仿宋_GB2312" w:cs="仿宋_GB2312"/>
          <w:sz w:val="32"/>
          <w:szCs w:val="32"/>
          <w:lang w:val="en-US" w:eastAsia="zh-CN"/>
        </w:rPr>
        <w:t>万元、医疗费补助</w:t>
      </w:r>
      <w:r>
        <w:rPr>
          <w:rFonts w:hint="eastAsia" w:ascii="仿宋_GB2312" w:hAnsi="仿宋_GB2312" w:eastAsia="仿宋_GB2312" w:cs="仿宋_GB2312"/>
          <w:sz w:val="32"/>
          <w:szCs w:val="32"/>
          <w:u w:val="single"/>
          <w:lang w:val="en-US" w:eastAsia="zh-CN"/>
        </w:rPr>
        <w:t>11.85</w:t>
      </w:r>
      <w:r>
        <w:rPr>
          <w:rFonts w:hint="eastAsia" w:ascii="仿宋_GB2312" w:hAnsi="仿宋_GB2312" w:eastAsia="仿宋_GB2312" w:cs="仿宋_GB2312"/>
          <w:sz w:val="32"/>
          <w:szCs w:val="32"/>
          <w:lang w:val="en-US" w:eastAsia="zh-CN"/>
        </w:rPr>
        <w:t>万元。</w:t>
      </w:r>
    </w:p>
    <w:p>
      <w:pPr>
        <w:pStyle w:val="10"/>
        <w:keepNext w:val="0"/>
        <w:keepLines w:val="0"/>
        <w:pageBreakBefore w:val="0"/>
        <w:widowControl w:val="0"/>
        <w:numPr>
          <w:ilvl w:val="0"/>
          <w:numId w:val="0"/>
        </w:numPr>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3"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（二）公用经费</w:t>
      </w:r>
      <w:r>
        <w:rPr>
          <w:rFonts w:hint="eastAsia" w:ascii="仿宋_GB2312" w:hAnsi="仿宋_GB2312" w:eastAsia="仿宋_GB2312" w:cs="仿宋_GB2312"/>
          <w:b/>
          <w:bCs/>
          <w:sz w:val="32"/>
          <w:szCs w:val="32"/>
          <w:u w:val="single"/>
          <w:lang w:val="en-US" w:eastAsia="zh-CN"/>
        </w:rPr>
        <w:t>36.13</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。主要包括：</w:t>
      </w:r>
      <w:r>
        <w:rPr>
          <w:rFonts w:hint="eastAsia" w:ascii="仿宋_GB2312" w:hAnsi="仿宋_GB2312" w:eastAsia="仿宋_GB2312" w:cs="仿宋_GB2312"/>
          <w:color w:val="000000" w:themeColor="text1"/>
          <w:sz w:val="32"/>
          <w:szCs w:val="32"/>
          <w14:textFill>
            <w14:solidFill>
              <w14:schemeClr w14:val="tx1"/>
            </w14:solidFill>
          </w14:textFill>
        </w:rPr>
        <w:t>办公费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1.53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、手续费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邮电费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差旅费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维修（护）费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0.1万元、公务接待费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万元、劳务费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0.36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工会经费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5.08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、福利费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5.21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万元、公务用车运行维护</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u w:val="single"/>
          <w:lang w:val="en-US" w:eastAsia="zh-CN"/>
        </w:rPr>
        <w:t>7.3</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其他交通费用</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13.10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sz w:val="32"/>
          <w:szCs w:val="32"/>
          <w:lang w:val="en-US" w:eastAsia="zh-CN"/>
        </w:rPr>
        <w:t>其他商品和服务支出</w:t>
      </w:r>
      <w:r>
        <w:rPr>
          <w:rFonts w:hint="eastAsia" w:ascii="仿宋_GB2312" w:hAnsi="仿宋_GB2312" w:eastAsia="仿宋_GB2312" w:cs="仿宋_GB2312"/>
          <w:sz w:val="32"/>
          <w:szCs w:val="32"/>
          <w:u w:val="single"/>
          <w:lang w:val="en-US" w:eastAsia="zh-CN"/>
        </w:rPr>
        <w:t>0.6</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eastAsia="黑体" w:cs="黑体"/>
          <w:b w:val="0"/>
          <w:bCs w:val="0"/>
          <w:sz w:val="32"/>
          <w:szCs w:val="32"/>
          <w:highlight w:val="none"/>
        </w:rPr>
      </w:pPr>
      <w:r>
        <w:rPr>
          <w:rFonts w:hint="eastAsia" w:eastAsia="黑体" w:cs="黑体"/>
          <w:b w:val="0"/>
          <w:bCs w:val="0"/>
          <w:sz w:val="32"/>
          <w:szCs w:val="32"/>
          <w:highlight w:val="none"/>
        </w:rPr>
        <w:t>七、一般公共预算“三公”经费支出预算情况说明</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年度一般公共预算拨款安排的“三公”经费预算支出</w:t>
      </w:r>
      <w:r>
        <w:rPr>
          <w:rFonts w:hint="eastAsia" w:ascii="仿宋_GB2312" w:hAnsi="仿宋_GB2312" w:eastAsia="仿宋_GB2312" w:cs="仿宋_GB2312"/>
          <w:sz w:val="32"/>
          <w:szCs w:val="32"/>
          <w:u w:val="single"/>
          <w:lang w:val="en-US" w:eastAsia="zh-CN"/>
        </w:rPr>
        <w:t>7.8</w:t>
      </w:r>
      <w:r>
        <w:rPr>
          <w:rFonts w:hint="eastAsia" w:ascii="仿宋_GB2312" w:hAnsi="仿宋_GB2312" w:eastAsia="仿宋_GB2312" w:cs="仿宋_GB2312"/>
          <w:sz w:val="32"/>
          <w:szCs w:val="32"/>
        </w:rPr>
        <w:t>万元，其中因公出国（境）费支出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万元，占“三公”经费的</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%；公务用车购置及运行维护费支出</w:t>
      </w:r>
      <w:r>
        <w:rPr>
          <w:rFonts w:hint="eastAsia" w:ascii="仿宋_GB2312" w:hAnsi="仿宋_GB2312" w:eastAsia="仿宋_GB2312" w:cs="仿宋_GB2312"/>
          <w:sz w:val="32"/>
          <w:szCs w:val="32"/>
          <w:u w:val="single"/>
          <w:lang w:val="en-US" w:eastAsia="zh-CN"/>
        </w:rPr>
        <w:t>7.3</w:t>
      </w:r>
      <w:r>
        <w:rPr>
          <w:rFonts w:hint="eastAsia" w:ascii="仿宋_GB2312" w:hAnsi="仿宋_GB2312" w:eastAsia="仿宋_GB2312" w:cs="仿宋_GB2312"/>
          <w:sz w:val="32"/>
          <w:szCs w:val="32"/>
        </w:rPr>
        <w:t>万元，占“三公”经费的</w:t>
      </w:r>
      <w:r>
        <w:rPr>
          <w:rFonts w:hint="eastAsia" w:ascii="仿宋_GB2312" w:hAnsi="仿宋_GB2312" w:eastAsia="仿宋_GB2312" w:cs="仿宋_GB2312"/>
          <w:sz w:val="32"/>
          <w:szCs w:val="32"/>
          <w:u w:val="single"/>
          <w:lang w:val="en-US" w:eastAsia="zh-CN"/>
        </w:rPr>
        <w:t>93.59</w:t>
      </w: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u w:val="single"/>
          <w:lang w:val="en-US" w:eastAsia="zh-CN"/>
        </w:rPr>
        <w:t>0.5</w:t>
      </w:r>
      <w:r>
        <w:rPr>
          <w:rFonts w:hint="eastAsia" w:ascii="仿宋_GB2312" w:hAnsi="仿宋_GB2312" w:eastAsia="仿宋_GB2312" w:cs="仿宋_GB2312"/>
          <w:sz w:val="32"/>
          <w:szCs w:val="32"/>
        </w:rPr>
        <w:t>万元，占“三公”经费的</w:t>
      </w:r>
      <w:r>
        <w:rPr>
          <w:rFonts w:hint="eastAsia" w:ascii="仿宋_GB2312" w:hAnsi="仿宋_GB2312" w:eastAsia="仿宋_GB2312" w:cs="仿宋_GB2312"/>
          <w:sz w:val="32"/>
          <w:szCs w:val="32"/>
          <w:u w:val="single"/>
          <w:lang w:val="en-US" w:eastAsia="zh-CN"/>
        </w:rPr>
        <w:t>6.41</w:t>
      </w:r>
      <w:r>
        <w:rPr>
          <w:rFonts w:hint="eastAsia" w:ascii="仿宋_GB2312" w:hAnsi="仿宋_GB2312" w:eastAsia="仿宋_GB2312" w:cs="仿宋_GB2312"/>
          <w:sz w:val="32"/>
          <w:szCs w:val="32"/>
        </w:rPr>
        <w:t>%。具体情况如下：</w:t>
      </w:r>
    </w:p>
    <w:p>
      <w:pPr>
        <w:pageBreakBefore w:val="0"/>
        <w:kinsoku/>
        <w:wordWrap/>
        <w:overflowPunct/>
        <w:topLinePunct w:val="0"/>
        <w:autoSpaceDE/>
        <w:autoSpaceDN/>
        <w:bidi w:val="0"/>
        <w:adjustRightInd/>
        <w:spacing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一般公共预算拨款安排的“三公”经费预算支出</w:t>
      </w:r>
      <w:r>
        <w:rPr>
          <w:rFonts w:hint="eastAsia" w:ascii="仿宋_GB2312" w:hAnsi="仿宋_GB2312" w:eastAsia="仿宋_GB2312" w:cs="仿宋_GB2312"/>
          <w:sz w:val="32"/>
          <w:szCs w:val="32"/>
          <w:u w:val="single"/>
          <w:lang w:val="en-US" w:eastAsia="zh-CN"/>
        </w:rPr>
        <w:t>7.8</w:t>
      </w:r>
      <w:r>
        <w:rPr>
          <w:rFonts w:hint="eastAsia" w:ascii="仿宋_GB2312" w:hAnsi="仿宋_GB2312" w:eastAsia="仿宋_GB2312" w:cs="仿宋_GB2312"/>
          <w:spacing w:val="-4"/>
          <w:sz w:val="32"/>
          <w:szCs w:val="32"/>
        </w:rPr>
        <w:t>万元，比上年预</w:t>
      </w:r>
      <w:r>
        <w:rPr>
          <w:rFonts w:hint="eastAsia" w:ascii="仿宋_GB2312" w:hAnsi="仿宋_GB2312" w:eastAsia="仿宋_GB2312" w:cs="仿宋_GB2312"/>
          <w:spacing w:val="-6"/>
          <w:sz w:val="32"/>
          <w:szCs w:val="32"/>
        </w:rPr>
        <w:t>算增加</w:t>
      </w:r>
      <w:r>
        <w:rPr>
          <w:rFonts w:hint="eastAsia" w:ascii="仿宋_GB2312" w:hAnsi="仿宋_GB2312" w:eastAsia="仿宋_GB2312" w:cs="仿宋_GB2312"/>
          <w:spacing w:val="-6"/>
          <w:sz w:val="32"/>
          <w:szCs w:val="32"/>
          <w:u w:val="single"/>
          <w:lang w:val="en-US" w:eastAsia="zh-CN"/>
        </w:rPr>
        <w:t>0</w:t>
      </w:r>
      <w:r>
        <w:rPr>
          <w:rFonts w:hint="eastAsia" w:ascii="仿宋_GB2312" w:hAnsi="仿宋_GB2312" w:eastAsia="仿宋_GB2312" w:cs="仿宋_GB2312"/>
          <w:spacing w:val="-6"/>
          <w:sz w:val="32"/>
          <w:szCs w:val="32"/>
        </w:rPr>
        <w:t>万元，</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4"/>
          <w:sz w:val="32"/>
          <w:szCs w:val="32"/>
        </w:rPr>
        <w:t>其中：</w:t>
      </w:r>
    </w:p>
    <w:p>
      <w:pPr>
        <w:pStyle w:val="10"/>
        <w:pageBreakBefore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1．因公出国（境）费预算支出</w:t>
      </w:r>
      <w:r>
        <w:rPr>
          <w:rFonts w:hint="eastAsia" w:ascii="仿宋_GB2312" w:hAnsi="仿宋_GB2312" w:eastAsia="仿宋_GB2312" w:cs="仿宋_GB2312"/>
          <w:sz w:val="32"/>
          <w:szCs w:val="32"/>
          <w:u w:val="single"/>
          <w:lang w:val="en-US" w:eastAsia="zh-CN"/>
        </w:rPr>
        <w:t xml:space="preserve"> 0</w:t>
      </w:r>
      <w:r>
        <w:rPr>
          <w:rFonts w:hint="eastAsia" w:ascii="仿宋_GB2312" w:hAnsi="仿宋_GB2312" w:eastAsia="仿宋_GB2312" w:cs="仿宋_GB2312"/>
          <w:sz w:val="32"/>
          <w:szCs w:val="32"/>
        </w:rPr>
        <w:t>万元，比上年预算增加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本部门无</w:t>
      </w:r>
      <w:r>
        <w:rPr>
          <w:rFonts w:hint="eastAsia" w:ascii="仿宋_GB2312" w:hAnsi="仿宋_GB2312" w:eastAsia="仿宋_GB2312" w:cs="仿宋_GB2312"/>
          <w:sz w:val="32"/>
          <w:szCs w:val="32"/>
        </w:rPr>
        <w:t>因公出国（境）费预算。</w:t>
      </w:r>
    </w:p>
    <w:p>
      <w:pPr>
        <w:pStyle w:val="10"/>
        <w:pageBreakBefore w:val="0"/>
        <w:tabs>
          <w:tab w:val="left" w:pos="2671"/>
          <w:tab w:val="left" w:pos="5000"/>
          <w:tab w:val="left" w:pos="6190"/>
        </w:tabs>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2．公务用车购置及运行维护费预算支出</w:t>
      </w:r>
      <w:r>
        <w:rPr>
          <w:rFonts w:hint="eastAsia" w:ascii="仿宋_GB2312" w:hAnsi="仿宋_GB2312" w:eastAsia="仿宋_GB2312" w:cs="仿宋_GB2312"/>
          <w:sz w:val="32"/>
          <w:szCs w:val="32"/>
          <w:u w:val="single"/>
          <w:lang w:val="en-US" w:eastAsia="zh-CN"/>
        </w:rPr>
        <w:t>7.3</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rPr>
        <w:tab/>
      </w:r>
    </w:p>
    <w:p>
      <w:pPr>
        <w:pStyle w:val="10"/>
        <w:pageBreakBefore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（1）公务用车购置预算支出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万元，比上年预算增加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本部门无</w:t>
      </w:r>
      <w:r>
        <w:rPr>
          <w:rFonts w:hint="eastAsia" w:ascii="仿宋_GB2312" w:hAnsi="仿宋_GB2312" w:eastAsia="仿宋_GB2312" w:cs="仿宋_GB2312"/>
          <w:sz w:val="32"/>
          <w:szCs w:val="32"/>
        </w:rPr>
        <w:t>公务用车购置预算。</w:t>
      </w:r>
    </w:p>
    <w:p>
      <w:pPr>
        <w:pStyle w:val="10"/>
        <w:pageBreakBefore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（2）公务用车运行维护费预算支出</w:t>
      </w:r>
      <w:r>
        <w:rPr>
          <w:rFonts w:hint="eastAsia" w:ascii="仿宋_GB2312" w:hAnsi="仿宋_GB2312" w:eastAsia="仿宋_GB2312" w:cs="仿宋_GB2312"/>
          <w:sz w:val="32"/>
          <w:szCs w:val="32"/>
          <w:u w:val="single"/>
          <w:lang w:val="en-US" w:eastAsia="zh-CN"/>
        </w:rPr>
        <w:t>7.3</w:t>
      </w:r>
      <w:r>
        <w:rPr>
          <w:rFonts w:hint="eastAsia" w:ascii="仿宋_GB2312" w:hAnsi="仿宋_GB2312" w:eastAsia="仿宋_GB2312" w:cs="仿宋_GB2312"/>
          <w:sz w:val="32"/>
          <w:szCs w:val="32"/>
        </w:rPr>
        <w:t>万元，比上年预算增加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eastAsia="zh-CN"/>
        </w:rPr>
        <w:t>较上年相比无变化</w:t>
      </w:r>
      <w:r>
        <w:rPr>
          <w:rFonts w:hint="eastAsia" w:ascii="仿宋_GB2312" w:hAnsi="仿宋_GB2312" w:eastAsia="仿宋_GB2312" w:cs="仿宋_GB2312"/>
          <w:sz w:val="32"/>
          <w:szCs w:val="32"/>
        </w:rPr>
        <w:t>。</w:t>
      </w:r>
    </w:p>
    <w:p>
      <w:pPr>
        <w:pStyle w:val="10"/>
        <w:pageBreakBefore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3．公务接待费预算支出</w:t>
      </w:r>
      <w:r>
        <w:rPr>
          <w:rFonts w:hint="eastAsia" w:ascii="仿宋_GB2312" w:hAnsi="仿宋_GB2312" w:eastAsia="仿宋_GB2312" w:cs="仿宋_GB2312"/>
          <w:sz w:val="32"/>
          <w:szCs w:val="32"/>
          <w:u w:val="single"/>
          <w:lang w:val="en-US" w:eastAsia="zh-CN"/>
        </w:rPr>
        <w:t>0.5</w:t>
      </w:r>
      <w:r>
        <w:rPr>
          <w:rFonts w:hint="eastAsia" w:ascii="仿宋_GB2312" w:hAnsi="仿宋_GB2312" w:eastAsia="仿宋_GB2312" w:cs="仿宋_GB2312"/>
          <w:sz w:val="32"/>
          <w:szCs w:val="32"/>
        </w:rPr>
        <w:t>万元，比上年预算增加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pacing w:val="16"/>
          <w:sz w:val="32"/>
          <w:szCs w:val="32"/>
          <w:lang w:val="en-US" w:eastAsia="zh-CN"/>
        </w:rPr>
        <w:t>本部门本着厉行节约的原则减少开支，公务接待预算与上年保持不变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eastAsia="黑体" w:cs="黑体"/>
          <w:b w:val="0"/>
          <w:bCs w:val="0"/>
          <w:sz w:val="32"/>
          <w:szCs w:val="32"/>
          <w:highlight w:val="none"/>
        </w:rPr>
      </w:pPr>
      <w:r>
        <w:rPr>
          <w:rFonts w:hint="eastAsia" w:eastAsia="黑体" w:cs="黑体"/>
          <w:b w:val="0"/>
          <w:bCs w:val="0"/>
          <w:sz w:val="32"/>
          <w:szCs w:val="32"/>
          <w:highlight w:val="none"/>
        </w:rPr>
        <w:t>八、政府性基金预算支出预算情况说明</w:t>
      </w:r>
    </w:p>
    <w:p>
      <w:pPr>
        <w:pStyle w:val="10"/>
        <w:pageBreakBefore w:val="0"/>
        <w:kinsoku/>
        <w:wordWrap/>
        <w:overflowPunct/>
        <w:topLinePunct w:val="0"/>
        <w:autoSpaceDE/>
        <w:autoSpaceDN/>
        <w:bidi w:val="0"/>
        <w:adjustRightInd/>
        <w:spacing w:after="0"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锡林郭勒盟科学技术协会</w:t>
      </w:r>
      <w:r>
        <w:rPr>
          <w:rFonts w:hint="eastAsia" w:ascii="仿宋_GB2312" w:hAnsi="仿宋_GB2312" w:eastAsia="仿宋_GB2312" w:cs="仿宋_GB2312"/>
          <w:sz w:val="32"/>
          <w:szCs w:val="32"/>
          <w:u w:val="single"/>
        </w:rPr>
        <w:t>部门</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年政府性基金支出预算支出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u w:val="single"/>
          <w:lang w:val="en-US" w:eastAsia="zh-CN"/>
        </w:rPr>
        <w:t xml:space="preserve"> 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napToGrid w:val="0"/>
          <w:color w:val="000000"/>
          <w:spacing w:val="16"/>
          <w:kern w:val="0"/>
          <w:sz w:val="32"/>
          <w:szCs w:val="32"/>
        </w:rPr>
        <w:t>本</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本年无政府性基金预算拨款支出。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eastAsia="黑体" w:cs="黑体"/>
          <w:b w:val="0"/>
          <w:bCs w:val="0"/>
          <w:sz w:val="32"/>
          <w:szCs w:val="32"/>
          <w:highlight w:val="none"/>
        </w:rPr>
      </w:pPr>
      <w:r>
        <w:rPr>
          <w:rFonts w:hint="eastAsia" w:eastAsia="黑体" w:cs="黑体"/>
          <w:b w:val="0"/>
          <w:bCs w:val="0"/>
          <w:sz w:val="32"/>
          <w:szCs w:val="32"/>
          <w:highlight w:val="none"/>
        </w:rPr>
        <w:t>九、国有资本经营预算支出预算情况说明</w:t>
      </w:r>
    </w:p>
    <w:p>
      <w:pPr>
        <w:pageBreakBefore w:val="0"/>
        <w:kinsoku/>
        <w:wordWrap/>
        <w:overflowPunct/>
        <w:topLinePunct w:val="0"/>
        <w:autoSpaceDE/>
        <w:autoSpaceDN/>
        <w:bidi w:val="0"/>
        <w:adjustRightInd/>
        <w:spacing w:line="360" w:lineRule="auto"/>
        <w:ind w:left="0" w:leftChars="0" w:right="0" w:firstLine="640" w:firstLineChars="200"/>
        <w:textAlignment w:val="auto"/>
        <w:rPr>
          <w:rFonts w:hint="eastAsia" w:ascii="仿宋_GB2312" w:hAnsi="仿宋_GB2312" w:eastAsia="仿宋_GB2312" w:cs="仿宋_GB2312"/>
          <w:i w:val="0"/>
          <w:iCs w:val="0"/>
          <w:sz w:val="32"/>
          <w:szCs w:val="32"/>
          <w:highlight w:val="none"/>
        </w:rPr>
      </w:pPr>
      <w:r>
        <w:rPr>
          <w:rFonts w:hint="eastAsia" w:ascii="仿宋_GB2312" w:hAnsi="仿宋_GB2312" w:eastAsia="仿宋_GB2312" w:cs="仿宋_GB2312"/>
          <w:i w:val="0"/>
          <w:iCs w:val="0"/>
          <w:sz w:val="32"/>
          <w:szCs w:val="32"/>
          <w:u w:val="single"/>
          <w:lang w:eastAsia="zh-CN"/>
        </w:rPr>
        <w:t>锡林郭勒盟科学技术协会</w:t>
      </w:r>
      <w:r>
        <w:rPr>
          <w:rFonts w:hint="eastAsia" w:ascii="仿宋_GB2312" w:hAnsi="仿宋_GB2312" w:eastAsia="仿宋_GB2312" w:cs="仿宋_GB2312"/>
          <w:i w:val="0"/>
          <w:iCs w:val="0"/>
          <w:sz w:val="32"/>
          <w:szCs w:val="32"/>
          <w:u w:val="single"/>
        </w:rPr>
        <w:t>部门</w:t>
      </w:r>
      <w:r>
        <w:rPr>
          <w:rFonts w:hint="eastAsia" w:ascii="仿宋_GB2312" w:hAnsi="仿宋_GB2312" w:eastAsia="仿宋_GB2312" w:cs="仿宋_GB2312"/>
          <w:i w:val="0"/>
          <w:iCs w:val="0"/>
          <w:sz w:val="32"/>
          <w:szCs w:val="32"/>
          <w:u w:val="single"/>
          <w:lang w:val="en-US" w:eastAsia="zh-CN"/>
        </w:rPr>
        <w:t>2024</w:t>
      </w:r>
      <w:r>
        <w:rPr>
          <w:rFonts w:hint="eastAsia" w:ascii="仿宋_GB2312" w:hAnsi="仿宋_GB2312" w:eastAsia="仿宋_GB2312" w:cs="仿宋_GB2312"/>
          <w:i w:val="0"/>
          <w:iCs w:val="0"/>
          <w:sz w:val="32"/>
          <w:szCs w:val="32"/>
        </w:rPr>
        <w:t>年国有资本经营预算支出</w:t>
      </w:r>
      <w:r>
        <w:rPr>
          <w:rFonts w:hint="eastAsia" w:ascii="仿宋_GB2312" w:hAnsi="仿宋_GB2312" w:eastAsia="仿宋_GB2312" w:cs="仿宋_GB2312"/>
          <w:i w:val="0"/>
          <w:iCs w:val="0"/>
          <w:sz w:val="32"/>
          <w:szCs w:val="32"/>
          <w:u w:val="single"/>
          <w:lang w:val="en-US" w:eastAsia="zh-CN"/>
        </w:rPr>
        <w:t>0</w:t>
      </w:r>
      <w:r>
        <w:rPr>
          <w:rFonts w:hint="eastAsia" w:ascii="仿宋_GB2312" w:hAnsi="仿宋_GB2312" w:eastAsia="仿宋_GB2312" w:cs="仿宋_GB2312"/>
          <w:i w:val="0"/>
          <w:iCs w:val="0"/>
          <w:sz w:val="32"/>
          <w:szCs w:val="32"/>
        </w:rPr>
        <w:t>万元。与上年相比增加</w:t>
      </w:r>
      <w:r>
        <w:rPr>
          <w:rFonts w:hint="eastAsia" w:ascii="仿宋_GB2312" w:hAnsi="仿宋_GB2312" w:eastAsia="仿宋_GB2312" w:cs="仿宋_GB2312"/>
          <w:i w:val="0"/>
          <w:iCs w:val="0"/>
          <w:sz w:val="32"/>
          <w:szCs w:val="32"/>
          <w:u w:val="single"/>
          <w:lang w:val="en-US" w:eastAsia="zh-CN"/>
        </w:rPr>
        <w:t>0</w:t>
      </w:r>
      <w:r>
        <w:rPr>
          <w:rFonts w:hint="eastAsia" w:ascii="仿宋_GB2312" w:hAnsi="仿宋_GB2312" w:eastAsia="仿宋_GB2312" w:cs="仿宋_GB2312"/>
          <w:i w:val="0"/>
          <w:iCs w:val="0"/>
          <w:sz w:val="32"/>
          <w:szCs w:val="32"/>
        </w:rPr>
        <w:t>万元，增长</w:t>
      </w:r>
      <w:r>
        <w:rPr>
          <w:rFonts w:hint="eastAsia" w:ascii="仿宋_GB2312" w:hAnsi="仿宋_GB2312" w:eastAsia="仿宋_GB2312" w:cs="仿宋_GB2312"/>
          <w:i w:val="0"/>
          <w:iCs w:val="0"/>
          <w:sz w:val="32"/>
          <w:szCs w:val="32"/>
          <w:u w:val="single"/>
          <w:lang w:val="en-US" w:eastAsia="zh-CN"/>
        </w:rPr>
        <w:t xml:space="preserve"> 0</w:t>
      </w:r>
      <w:r>
        <w:rPr>
          <w:rFonts w:hint="eastAsia" w:ascii="仿宋_GB2312" w:hAnsi="仿宋_GB2312" w:eastAsia="仿宋_GB2312" w:cs="仿宋_GB2312"/>
          <w:i w:val="0"/>
          <w:iCs w:val="0"/>
          <w:sz w:val="32"/>
          <w:szCs w:val="32"/>
        </w:rPr>
        <w:t>%。主要</w:t>
      </w:r>
      <w:r>
        <w:rPr>
          <w:rFonts w:hint="eastAsia" w:ascii="仿宋_GB2312" w:hAnsi="仿宋_GB2312" w:eastAsia="仿宋_GB2312" w:cs="仿宋_GB2312"/>
          <w:i w:val="0"/>
          <w:iCs w:val="0"/>
          <w:sz w:val="32"/>
          <w:szCs w:val="32"/>
          <w:highlight w:val="none"/>
        </w:rPr>
        <w:t>原因是</w:t>
      </w:r>
      <w:r>
        <w:rPr>
          <w:rFonts w:hint="eastAsia" w:ascii="仿宋_GB2312" w:hAnsi="仿宋_GB2312" w:eastAsia="仿宋_GB2312" w:cs="仿宋_GB2312"/>
          <w:i w:val="0"/>
          <w:iCs w:val="0"/>
          <w:sz w:val="32"/>
          <w:szCs w:val="32"/>
          <w:highlight w:val="none"/>
          <w:lang w:val="en-US" w:eastAsia="zh-CN"/>
        </w:rPr>
        <w:t>本单位</w:t>
      </w:r>
      <w:r>
        <w:rPr>
          <w:rFonts w:hint="eastAsia" w:ascii="仿宋_GB2312" w:hAnsi="仿宋_GB2312" w:eastAsia="仿宋_GB2312" w:cs="仿宋_GB2312"/>
          <w:i w:val="0"/>
          <w:iCs w:val="0"/>
          <w:sz w:val="32"/>
          <w:szCs w:val="32"/>
          <w:highlight w:val="none"/>
        </w:rPr>
        <w:t>本年无国有资本经营预算拨款支出。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b w:val="0"/>
          <w:bCs w:val="0"/>
          <w:i/>
          <w:iCs/>
          <w:sz w:val="32"/>
          <w:szCs w:val="32"/>
          <w:highlight w:val="none"/>
        </w:rPr>
      </w:pPr>
      <w:r>
        <w:rPr>
          <w:rFonts w:hint="eastAsia" w:eastAsia="黑体" w:cs="黑体"/>
          <w:b w:val="0"/>
          <w:bCs w:val="0"/>
          <w:sz w:val="32"/>
          <w:szCs w:val="32"/>
          <w:highlight w:val="none"/>
        </w:rPr>
        <w:t>十、项目支出预算情况说明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2024</w:t>
      </w:r>
      <w:r>
        <w:rPr>
          <w:rFonts w:hint="eastAsia" w:ascii="方正仿宋_GB2312" w:hAnsi="方正仿宋_GB2312" w:eastAsia="方正仿宋_GB2312" w:cs="方正仿宋_GB2312"/>
          <w:sz w:val="32"/>
          <w:szCs w:val="32"/>
        </w:rPr>
        <w:t>年部门预算安排项目</w:t>
      </w:r>
      <w:r>
        <w:rPr>
          <w:rFonts w:hint="eastAsia" w:ascii="方正仿宋_GB2312" w:hAnsi="方正仿宋_GB2312" w:eastAsia="方正仿宋_GB2312" w:cs="方正仿宋_GB2312"/>
          <w:sz w:val="32"/>
          <w:szCs w:val="32"/>
          <w:u w:val="single"/>
          <w:lang w:val="en-US" w:eastAsia="zh-CN"/>
        </w:rPr>
        <w:t>3</w:t>
      </w:r>
      <w:r>
        <w:rPr>
          <w:rFonts w:hint="eastAsia" w:ascii="方正仿宋_GB2312" w:hAnsi="方正仿宋_GB2312" w:eastAsia="方正仿宋_GB2312" w:cs="方正仿宋_GB2312"/>
          <w:sz w:val="32"/>
          <w:szCs w:val="32"/>
        </w:rPr>
        <w:t>个，项目预算总金额</w:t>
      </w:r>
      <w:r>
        <w:rPr>
          <w:rFonts w:hint="eastAsia" w:ascii="方正仿宋_GB2312" w:hAnsi="方正仿宋_GB2312" w:eastAsia="方正仿宋_GB2312" w:cs="方正仿宋_GB2312"/>
          <w:sz w:val="32"/>
          <w:szCs w:val="32"/>
          <w:u w:val="single"/>
          <w:lang w:val="en-US" w:eastAsia="zh-CN"/>
        </w:rPr>
        <w:t>94.74</w:t>
      </w:r>
      <w:r>
        <w:rPr>
          <w:rFonts w:hint="eastAsia" w:ascii="方正仿宋_GB2312" w:hAnsi="方正仿宋_GB2312" w:eastAsia="方正仿宋_GB2312" w:cs="方正仿宋_GB2312"/>
          <w:sz w:val="32"/>
          <w:szCs w:val="32"/>
        </w:rPr>
        <w:t>万元。其中，财政本年拨款金额</w:t>
      </w:r>
      <w:r>
        <w:rPr>
          <w:rFonts w:hint="eastAsia" w:ascii="方正仿宋_GB2312" w:hAnsi="方正仿宋_GB2312" w:eastAsia="方正仿宋_GB2312" w:cs="方正仿宋_GB2312"/>
          <w:sz w:val="32"/>
          <w:szCs w:val="32"/>
          <w:u w:val="single"/>
          <w:lang w:val="en-US" w:eastAsia="zh-CN"/>
        </w:rPr>
        <w:t>80.00</w:t>
      </w:r>
      <w:r>
        <w:rPr>
          <w:rFonts w:hint="eastAsia" w:ascii="方正仿宋_GB2312" w:hAnsi="方正仿宋_GB2312" w:eastAsia="方正仿宋_GB2312" w:cs="方正仿宋_GB2312"/>
          <w:sz w:val="32"/>
          <w:szCs w:val="32"/>
        </w:rPr>
        <w:t>万元，财政拨款结转结余</w:t>
      </w:r>
      <w:r>
        <w:rPr>
          <w:rFonts w:hint="eastAsia" w:ascii="方正仿宋_GB2312" w:hAnsi="方正仿宋_GB2312" w:eastAsia="方正仿宋_GB2312" w:cs="方正仿宋_GB2312"/>
          <w:sz w:val="32"/>
          <w:szCs w:val="32"/>
          <w:u w:val="single"/>
          <w:lang w:val="en-US" w:eastAsia="zh-CN"/>
        </w:rPr>
        <w:t>14.74</w:t>
      </w:r>
      <w:r>
        <w:rPr>
          <w:rFonts w:hint="eastAsia" w:ascii="方正仿宋_GB2312" w:hAnsi="方正仿宋_GB2312" w:eastAsia="方正仿宋_GB2312" w:cs="方正仿宋_GB2312"/>
          <w:sz w:val="32"/>
          <w:szCs w:val="32"/>
        </w:rPr>
        <w:t>万元，财政专户管理资金</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万元，单位资金</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（一）项目名称：2024年本级基层科普行动计划</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1.项目概述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通过实施2024年</w:t>
      </w:r>
      <w:r>
        <w:rPr>
          <w:rFonts w:hint="eastAsia" w:ascii="方正仿宋_GB2312" w:hAnsi="方正仿宋_GB2312" w:eastAsia="方正仿宋_GB2312" w:cs="方正仿宋_GB2312"/>
          <w:sz w:val="32"/>
          <w:szCs w:val="32"/>
          <w:lang w:eastAsia="zh-CN"/>
        </w:rPr>
        <w:t>本级基层科普行动计划项目，支持</w:t>
      </w:r>
      <w:r>
        <w:rPr>
          <w:rFonts w:hint="eastAsia" w:ascii="方正仿宋_GB2312" w:hAnsi="方正仿宋_GB2312" w:eastAsia="方正仿宋_GB2312" w:cs="方正仿宋_GB2312"/>
          <w:sz w:val="32"/>
          <w:szCs w:val="32"/>
          <w:lang w:val="en-US" w:eastAsia="zh-CN"/>
        </w:rPr>
        <w:t>2座旗县科技馆内容建设、注册科普信息员数量达到3万人，支持2个流动科普设施运行，开展2批次以上百名专家走进盟市旗县科普传播行活动，科普报刊订阅覆盖80%以上旗县，科普场馆和阵地年接待服务公众2万人次以上，百名专家走进盟市旗县科普传播行活动受益人次达到1万人次以上，逐步提升全盟公民科学素质水平。</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2.立项依据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根据《财政部关于下达2017年基层科普行动计划资金预算的通知》（财科教〔2017〕27号）和《内蒙古自治区科学技术协会下达2024年内蒙古自治区“基层科普行动计划”项目资金的函》（内科协〔2023〕24号）。</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3.实施主体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锡林郭勒盟科学技术协会</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 xml:space="preserve">实施方案 </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lang w:val="en-US" w:eastAsia="zh-CN"/>
        </w:rPr>
        <w:t>2024年根据年初预算，确保专项资金安全有效达到绩效目标，该项目</w:t>
      </w:r>
      <w:r>
        <w:rPr>
          <w:rFonts w:hint="eastAsia" w:ascii="方正仿宋_GB2312" w:hAnsi="方正仿宋_GB2312" w:eastAsia="方正仿宋_GB2312" w:cs="方正仿宋_GB2312"/>
          <w:sz w:val="32"/>
          <w:szCs w:val="32"/>
          <w:highlight w:val="none"/>
          <w:lang w:val="en-US" w:eastAsia="zh-CN"/>
        </w:rPr>
        <w:t>主要开展科普阵地资源建设类流动科普设施资助项目，主要用于各巡展点设备维护维修、流动等费用。为提升科普活动和队伍建设，提升重点人群科学素质，在盟内开展百名专家走进盟市旗县科普传播行、继续推进助力乡村振兴项目，为旗县市（区）科协和苏木嘎查订阅科普报刊《身边科学》和内蒙古科技报。为提升科普工作质量及科普队伍能力，开展科普队伍工作培训交流等活动。</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为确保该项目任务顺利实施，锡盟科协成立“基层科普行动计划”项目实施工作领导小组，健全组织，统筹协调，确保专款专用。</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5.实施周期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自202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年1月1日至202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 xml:space="preserve">年12月31日。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6.年度预算安排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年该项目预算</w:t>
      </w:r>
      <w:r>
        <w:rPr>
          <w:rFonts w:hint="eastAsia" w:ascii="方正仿宋_GB2312" w:hAnsi="方正仿宋_GB2312" w:eastAsia="方正仿宋_GB2312" w:cs="方正仿宋_GB2312"/>
          <w:sz w:val="32"/>
          <w:szCs w:val="32"/>
          <w:lang w:val="en-US" w:eastAsia="zh-CN"/>
        </w:rPr>
        <w:t>62万</w:t>
      </w:r>
      <w:r>
        <w:rPr>
          <w:rFonts w:hint="eastAsia" w:ascii="方正仿宋_GB2312" w:hAnsi="方正仿宋_GB2312" w:eastAsia="方正仿宋_GB2312" w:cs="方正仿宋_GB2312"/>
          <w:sz w:val="32"/>
          <w:szCs w:val="32"/>
        </w:rPr>
        <w:t>元。</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（二）项目名称：科学技术普及项目</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1.项目概述 </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依照《中国科协章程》2024年盟科协以习近平新时代中国特色社会主义思想为指导，深入学习贯彻党的二十大精神，认真学习贯彻内蒙古党委办公厅、政府办公厅《关于加强新时代科协工作的意见》紧紧围绕全区、全盟中心工作和自治区科协工作要求，立足新发展阶段，贯彻新发展理念，构建新发展格局，进一步增强全盟科协各级组织的“政治性、先进性、群众性”，强化政治引领，铸牢中华民族共同体意识，不断提升我盟科协系统“四个服务”能力建设，团结和引领全盟广大科技工作者及各级科协组织，勇于创新，敢于担当，为全盟经济社会创新驱动高质量发展提供高效服务，在全盟范围内开展经常性的科学技术普及活动，全面提升公民科学素质建设能力。</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2.立项依据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《中华人民共和国科学技术普及法》、《中国科协章程》、《内蒙古自治区科学技术协会条例》、内蒙古自治区党委办公厅 自治区人民政府办公厅印发《关于加强新时代科协工作的意见》的通知、《锡林郭勒盟科协深化改革实施方案》、《锡林郭勒盟全民科学素质行动计划纲要实施方案》。</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3.实施主体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锡林郭勒盟科学技术协会</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4.实施方案 </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依据《内蒙古自治区科学技术普及条例》以及《内蒙古自治区科学技术协会条例》。2024年预算安排18万科学技术普及项目资金，主要用于科技三下乡、科技活动周、科普宣传日、全民科学素质提升、学术学会交流、助力基层科协开展系列科普活动等。</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5.实施周期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自2024年1月1日至2024年12月31日。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6.年度预算安排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2024年该项目预算安排18万元。</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（三）项目名称：基层科普行动计划   内财科〔2023〕146号</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1.项目概述 </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该款为2023年结转基层科普行动专项，主要用于继续开展基层科普行动计划，提升重点人群科学素质及科技助力乡村振兴项目。</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2.立项依据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napToGrid w:val="0"/>
          <w:color w:val="000000"/>
          <w:kern w:val="0"/>
          <w:sz w:val="32"/>
          <w:szCs w:val="32"/>
          <w:u w:val="none" w:color="auto"/>
          <w:lang w:val="en-US" w:eastAsia="zh-CN"/>
        </w:rPr>
        <w:t>《中华人民共和国科学技术普及法》、《中国科协章程》、《内蒙古自治区科学技术协会条例》</w:t>
      </w:r>
      <w:r>
        <w:rPr>
          <w:rFonts w:hint="eastAsia" w:ascii="方正仿宋_GB2312" w:hAnsi="方正仿宋_GB2312" w:eastAsia="方正仿宋_GB2312" w:cs="方正仿宋_GB2312"/>
          <w:sz w:val="32"/>
          <w:szCs w:val="32"/>
          <w:lang w:val="en-US" w:eastAsia="zh-CN"/>
        </w:rPr>
        <w:t>、内财科〔2023〕146号。</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3.实施主体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锡林郭勒盟科学技术协会</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4.实施方案 </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2024年邀请自治区科普专家团、组织我盟科普专家团成员、科技志愿者及各旗县科普专家团形成三级科普专家联动，继续开展百名专家走进盟市旗县科普传播行活动，用于聘请专家所需劳务费、差旅费及交通费用。</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5.实施周期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自2024年1月1日至2024年12月31日。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6.年度预算安排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方正仿宋_GB2312" w:hAnsi="方正仿宋_GB2312" w:eastAsia="方正仿宋_GB2312" w:cs="方正仿宋_GB2312"/>
          <w:sz w:val="32"/>
          <w:szCs w:val="32"/>
          <w:lang w:val="en-US" w:eastAsia="zh-CN"/>
        </w:rPr>
        <w:t>2024年该项目预算14.74万元。</w:t>
      </w:r>
    </w:p>
    <w:p>
      <w:pPr>
        <w:pageBreakBefore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黑体" w:cs="黑体"/>
          <w:b w:val="0"/>
          <w:bCs w:val="0"/>
          <w:sz w:val="32"/>
          <w:szCs w:val="36"/>
          <w:lang w:val="en-US" w:eastAsia="zh-CN"/>
        </w:rPr>
      </w:pPr>
      <w:r>
        <w:rPr>
          <w:rFonts w:hint="eastAsia" w:eastAsia="黑体" w:cs="黑体"/>
          <w:b w:val="0"/>
          <w:bCs w:val="0"/>
          <w:sz w:val="32"/>
          <w:szCs w:val="36"/>
          <w:lang w:val="en-US" w:eastAsia="zh-CN"/>
        </w:rPr>
        <w:t>十一、一般公共预算机关运行经费支出预算情况说明</w:t>
      </w:r>
    </w:p>
    <w:p>
      <w:pPr>
        <w:pageBreakBefore w:val="0"/>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u w:val="single"/>
        </w:rPr>
        <w:t>年部门</w:t>
      </w:r>
      <w:r>
        <w:rPr>
          <w:rFonts w:hint="eastAsia" w:ascii="仿宋_GB2312" w:hAnsi="仿宋_GB2312" w:eastAsia="仿宋_GB2312" w:cs="仿宋_GB2312"/>
          <w:sz w:val="32"/>
          <w:szCs w:val="32"/>
        </w:rPr>
        <w:t>一般公共预算机关运行经费预算支出</w:t>
      </w:r>
      <w:r>
        <w:rPr>
          <w:rFonts w:hint="eastAsia" w:ascii="仿宋_GB2312" w:hAnsi="仿宋_GB2312" w:eastAsia="仿宋_GB2312" w:cs="仿宋_GB2312"/>
          <w:sz w:val="32"/>
          <w:szCs w:val="32"/>
          <w:u w:val="single"/>
          <w:lang w:val="en-US" w:eastAsia="zh-CN"/>
        </w:rPr>
        <w:t>36.13</w:t>
      </w:r>
      <w:r>
        <w:rPr>
          <w:rFonts w:hint="eastAsia" w:ascii="仿宋_GB2312" w:hAnsi="仿宋_GB2312" w:eastAsia="仿宋_GB2312" w:cs="仿宋_GB2312"/>
          <w:sz w:val="32"/>
          <w:szCs w:val="32"/>
        </w:rPr>
        <w:t>万元，主要包括以下支出：</w:t>
      </w:r>
      <w:r>
        <w:rPr>
          <w:rFonts w:hint="eastAsia" w:ascii="仿宋_GB2312" w:hAnsi="仿宋_GB2312" w:eastAsia="仿宋_GB2312" w:cs="仿宋_GB2312"/>
          <w:color w:val="000000" w:themeColor="text1"/>
          <w:sz w:val="32"/>
          <w:szCs w:val="32"/>
          <w14:textFill>
            <w14:solidFill>
              <w14:schemeClr w14:val="tx1"/>
            </w14:solidFill>
          </w14:textFill>
        </w:rPr>
        <w:t>办公费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1.53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、手续费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邮电费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差旅费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维修（护）费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、培训费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万元、公务接待费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万元、劳务费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0.36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工会经费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5.08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、福利费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5.21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万元、公务用车运行维护</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u w:val="single"/>
          <w:lang w:val="en-US" w:eastAsia="zh-CN"/>
        </w:rPr>
        <w:t>7.3</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其他交通费用</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13.10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sz w:val="32"/>
          <w:szCs w:val="32"/>
          <w:lang w:val="en-US" w:eastAsia="zh-CN"/>
        </w:rPr>
        <w:t>其他商品和服务支出</w:t>
      </w:r>
      <w:r>
        <w:rPr>
          <w:rFonts w:hint="eastAsia" w:ascii="仿宋_GB2312" w:hAnsi="仿宋_GB2312" w:eastAsia="仿宋_GB2312" w:cs="仿宋_GB2312"/>
          <w:sz w:val="32"/>
          <w:szCs w:val="32"/>
          <w:u w:val="single"/>
          <w:lang w:val="en-US" w:eastAsia="zh-CN"/>
        </w:rPr>
        <w:t>0.6</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sz w:val="32"/>
          <w:szCs w:val="32"/>
        </w:rPr>
        <w:t>上年相比减少</w:t>
      </w:r>
      <w:r>
        <w:rPr>
          <w:rFonts w:hint="eastAsia" w:ascii="仿宋_GB2312" w:hAnsi="仿宋_GB2312" w:eastAsia="仿宋_GB2312" w:cs="仿宋_GB2312"/>
          <w:sz w:val="32"/>
          <w:szCs w:val="32"/>
          <w:u w:val="single"/>
          <w:lang w:val="en-US" w:eastAsia="zh-CN"/>
        </w:rPr>
        <w:t>1.88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u w:val="single"/>
          <w:lang w:val="en-US" w:eastAsia="zh-CN"/>
        </w:rPr>
        <w:t>4.95</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本单位本着厉行节约的原则，减少各项经费支出</w:t>
      </w:r>
      <w:r>
        <w:rPr>
          <w:rFonts w:hint="eastAsia" w:ascii="仿宋_GB2312" w:hAnsi="仿宋_GB2312" w:eastAsia="仿宋_GB2312" w:cs="仿宋_GB2312"/>
          <w:sz w:val="32"/>
          <w:szCs w:val="32"/>
        </w:rPr>
        <w:t>。</w:t>
      </w:r>
    </w:p>
    <w:p>
      <w:pPr>
        <w:pageBreakBefore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黑体" w:cs="黑体"/>
          <w:b w:val="0"/>
          <w:bCs w:val="0"/>
          <w:sz w:val="32"/>
          <w:szCs w:val="36"/>
          <w:lang w:val="en-US" w:eastAsia="zh-CN"/>
        </w:rPr>
      </w:pPr>
      <w:r>
        <w:rPr>
          <w:rFonts w:hint="eastAsia" w:eastAsia="黑体" w:cs="黑体"/>
          <w:b w:val="0"/>
          <w:bCs w:val="0"/>
          <w:sz w:val="32"/>
          <w:szCs w:val="36"/>
          <w:lang w:val="en-US" w:eastAsia="zh-CN"/>
        </w:rPr>
        <w:t>十二、政府采购支出预算情况说明</w:t>
      </w:r>
    </w:p>
    <w:p>
      <w:pPr>
        <w:pageBreakBefore w:val="0"/>
        <w:numPr>
          <w:ilvl w:val="0"/>
          <w:numId w:val="0"/>
        </w:numPr>
        <w:pBdr>
          <w:bottom w:val="single" w:color="FFFFFF" w:sz="4" w:space="30"/>
        </w:pBdr>
        <w:kinsoku/>
        <w:wordWrap/>
        <w:overflowPunct/>
        <w:topLinePunct w:val="0"/>
        <w:bidi w:val="0"/>
        <w:snapToGrid w:val="0"/>
        <w:spacing w:line="360" w:lineRule="auto"/>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年度政府采购支出预算总额</w:t>
      </w:r>
      <w:r>
        <w:rPr>
          <w:rFonts w:hint="eastAsia" w:ascii="仿宋_GB2312" w:hAnsi="仿宋_GB2312" w:eastAsia="仿宋_GB2312" w:cs="仿宋_GB2312"/>
          <w:sz w:val="32"/>
          <w:szCs w:val="32"/>
          <w:u w:val="single"/>
          <w:lang w:val="en-US" w:eastAsia="zh-CN"/>
        </w:rPr>
        <w:t xml:space="preserve"> 1</w:t>
      </w:r>
      <w:r>
        <w:rPr>
          <w:rFonts w:hint="eastAsia" w:ascii="仿宋_GB2312" w:hAnsi="仿宋_GB2312" w:eastAsia="仿宋_GB2312" w:cs="仿宋_GB2312"/>
          <w:sz w:val="32"/>
          <w:szCs w:val="32"/>
        </w:rPr>
        <w:t>万元，其中：拟采购货物支出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万元、拟采购工程支出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万元、拟购买服务支出</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pacing w:val="-3"/>
          <w:sz w:val="32"/>
          <w:szCs w:val="32"/>
          <w:u w:val="none" w:color="auto"/>
          <w:lang w:val="en-US" w:eastAsia="zh-CN"/>
        </w:rPr>
        <w:t>主要涵盖车辆加油服务及车辆维修和保养服务采购，</w:t>
      </w:r>
      <w:r>
        <w:rPr>
          <w:rFonts w:hint="eastAsia" w:ascii="方正仿宋_GB2312" w:hAnsi="方正仿宋_GB2312" w:eastAsia="方正仿宋_GB2312" w:cs="方正仿宋_GB2312"/>
          <w:spacing w:val="-3"/>
          <w:sz w:val="32"/>
          <w:szCs w:val="32"/>
          <w:u w:val="none" w:color="auto"/>
          <w:lang w:val="en-US" w:eastAsia="zh-CN"/>
        </w:rPr>
        <w:t>采购金额来源为一般公共预算资金。</w:t>
      </w:r>
    </w:p>
    <w:p>
      <w:pPr>
        <w:pageBreakBefore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eastAsia="黑体" w:cs="黑体"/>
          <w:b w:val="0"/>
          <w:bCs w:val="0"/>
          <w:sz w:val="32"/>
          <w:szCs w:val="36"/>
          <w:lang w:val="en-US" w:eastAsia="zh-CN"/>
        </w:rPr>
      </w:pPr>
      <w:r>
        <w:rPr>
          <w:rFonts w:hint="eastAsia" w:eastAsia="黑体" w:cs="黑体"/>
          <w:b w:val="0"/>
          <w:bCs w:val="0"/>
          <w:sz w:val="32"/>
          <w:szCs w:val="36"/>
          <w:lang w:val="en-US" w:eastAsia="zh-CN"/>
        </w:rPr>
        <w:t>十三、国有资产占用情况说明</w:t>
      </w:r>
    </w:p>
    <w:p>
      <w:pPr>
        <w:pageBreakBefore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u w:val="single"/>
          <w:lang w:val="en-US" w:eastAsia="zh-CN"/>
        </w:rPr>
        <w:t xml:space="preserve"> 1</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u w:val="single"/>
          <w:lang w:val="en-US" w:eastAsia="zh-CN"/>
        </w:rPr>
        <w:t xml:space="preserve"> 0</w:t>
      </w:r>
      <w:r>
        <w:rPr>
          <w:rFonts w:hint="eastAsia" w:ascii="仿宋_GB2312" w:hAnsi="仿宋_GB2312" w:eastAsia="仿宋_GB2312" w:cs="仿宋_GB2312"/>
          <w:sz w:val="32"/>
          <w:szCs w:val="32"/>
        </w:rPr>
        <w:t>辆、业务用车</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辆等。单价50万元（含）以上的通用设备</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台（套），单价100万元（含）以上的专用设备</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台（套）。</w:t>
      </w:r>
    </w:p>
    <w:p>
      <w:pPr>
        <w:pageBreakBefore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eastAsia="仿宋_GB2312" w:cstheme="minorBidi"/>
          <w:sz w:val="32"/>
          <w:szCs w:val="32"/>
        </w:rPr>
      </w:pP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3" w:firstLineChars="200"/>
        <w:textAlignment w:val="auto"/>
        <w:rPr>
          <w:rFonts w:hint="eastAsia" w:eastAsia="仿宋_GB2312" w:cstheme="minorBidi"/>
          <w:sz w:val="32"/>
          <w:szCs w:val="32"/>
        </w:rPr>
      </w:pPr>
      <w:r>
        <w:rPr>
          <w:rFonts w:hint="eastAsia" w:ascii="仿宋_GB2312" w:hAnsi="仿宋_GB2312" w:eastAsia="仿宋_GB2312" w:cs="仿宋_GB2312"/>
          <w:b/>
          <w:bCs/>
          <w:sz w:val="32"/>
          <w:szCs w:val="36"/>
          <w:lang w:val="en-US" w:eastAsia="zh-CN"/>
        </w:rPr>
        <w:t xml:space="preserve"> </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年，填报绩效目标的预算项目</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个，公开绩效目标</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个，公开项目占全部预算项目的100 %。公开填报绩效目标的项目预算</w:t>
      </w:r>
      <w:r>
        <w:rPr>
          <w:rFonts w:hint="eastAsia" w:ascii="仿宋_GB2312" w:hAnsi="仿宋_GB2312" w:eastAsia="仿宋_GB2312" w:cs="仿宋_GB2312"/>
          <w:sz w:val="32"/>
          <w:szCs w:val="32"/>
          <w:u w:val="single"/>
          <w:lang w:val="en-US" w:eastAsia="zh-CN"/>
        </w:rPr>
        <w:t>94.74</w:t>
      </w:r>
      <w:r>
        <w:rPr>
          <w:rFonts w:hint="eastAsia" w:ascii="仿宋_GB2312" w:hAnsi="仿宋_GB2312" w:eastAsia="仿宋_GB2312" w:cs="仿宋_GB2312"/>
          <w:sz w:val="32"/>
          <w:szCs w:val="32"/>
        </w:rPr>
        <w:t>万元，占全部项目预算的100%。</w:t>
      </w:r>
    </w:p>
    <w:p>
      <w:pPr>
        <w:rPr>
          <w:rFonts w:hint="eastAsia" w:eastAsia="仿宋_GB2312" w:cstheme="minorBidi"/>
          <w:sz w:val="32"/>
          <w:szCs w:val="32"/>
        </w:rPr>
      </w:pPr>
      <w:r>
        <w:rPr>
          <w:rFonts w:hint="eastAsia" w:eastAsia="仿宋_GB2312" w:cstheme="minorBidi"/>
          <w:sz w:val="32"/>
          <w:szCs w:val="32"/>
        </w:rPr>
        <w:br w:type="page"/>
      </w:r>
    </w:p>
    <w:p>
      <w:pPr>
        <w:pStyle w:val="7"/>
        <w:pageBreakBefore w:val="0"/>
        <w:tabs>
          <w:tab w:val="left" w:pos="4392"/>
        </w:tabs>
        <w:kinsoku/>
        <w:wordWrap/>
        <w:overflowPunct/>
        <w:topLinePunct w:val="0"/>
        <w:autoSpaceDE/>
        <w:autoSpaceDN/>
        <w:bidi w:val="0"/>
        <w:adjustRightInd/>
        <w:spacing w:before="0" w:after="0" w:line="360" w:lineRule="auto"/>
        <w:ind w:left="0" w:leftChars="0" w:right="0" w:firstLine="720" w:firstLineChars="20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pageBreakBefore w:val="0"/>
        <w:kinsoku/>
        <w:wordWrap/>
        <w:overflowPunct/>
        <w:topLinePunct w:val="0"/>
        <w:autoSpaceDE/>
        <w:autoSpaceDN/>
        <w:bidi w:val="0"/>
        <w:adjustRightInd/>
        <w:spacing w:line="360" w:lineRule="auto"/>
        <w:ind w:left="0" w:leftChars="0" w:right="0" w:firstLine="720" w:firstLineChars="200"/>
        <w:textAlignment w:val="auto"/>
        <w:rPr>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一、财政拨款：</w:t>
      </w:r>
      <w:r>
        <w:rPr>
          <w:rFonts w:hint="eastAsia" w:ascii="仿宋_GB2312" w:hAnsi="仿宋_GB2312" w:eastAsia="仿宋_GB2312" w:cs="仿宋_GB2312"/>
          <w:sz w:val="32"/>
          <w:szCs w:val="32"/>
        </w:rPr>
        <w:t>部门/单位从同级财政部门取得的各类财政拨款，包括一般公共预算拨款、政府性基金预算拨款、国有资本经营预算拨款。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二、一般公共预算拨款收入：</w:t>
      </w:r>
      <w:r>
        <w:rPr>
          <w:rFonts w:hint="eastAsia" w:ascii="仿宋_GB2312" w:hAnsi="仿宋_GB2312" w:eastAsia="仿宋_GB2312" w:cs="仿宋_GB2312"/>
          <w:bCs/>
          <w:sz w:val="32"/>
          <w:szCs w:val="32"/>
        </w:rPr>
        <w:t>指市级财政当年拨付的资金。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三、财政专户管理资金：</w:t>
      </w:r>
      <w:r>
        <w:rPr>
          <w:rFonts w:hint="eastAsia" w:ascii="仿宋_GB2312" w:hAnsi="仿宋_GB2312" w:eastAsia="仿宋_GB2312" w:cs="仿宋_GB2312"/>
          <w:sz w:val="32"/>
          <w:szCs w:val="32"/>
        </w:rPr>
        <w:t>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四、单位资金：</w:t>
      </w:r>
      <w:r>
        <w:rPr>
          <w:rFonts w:hint="eastAsia" w:ascii="仿宋_GB2312" w:hAnsi="仿宋_GB2312" w:eastAsia="仿宋_GB2312" w:cs="仿宋_GB2312"/>
          <w:sz w:val="32"/>
          <w:szCs w:val="32"/>
        </w:rPr>
        <w:t>除财政拨款收入和财政专户管理资金以外的收入，包括事业收入（不含教育收费）、上级补助收入、附属单位上缴收入、事业单位经营收入及其他收入（包含债务收入、投资收益等）。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五、基本支出：</w:t>
      </w:r>
      <w:r>
        <w:rPr>
          <w:rFonts w:hint="eastAsia" w:ascii="仿宋_GB2312" w:hAnsi="仿宋_GB2312" w:eastAsia="仿宋_GB2312" w:cs="仿宋_GB2312"/>
          <w:sz w:val="32"/>
          <w:szCs w:val="32"/>
        </w:rPr>
        <w:t>指为保障机构正常运转、完成工作任务而发生的人员支出和公用支出。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六、项目支出：</w:t>
      </w:r>
      <w:r>
        <w:rPr>
          <w:rFonts w:hint="eastAsia" w:ascii="仿宋_GB2312" w:hAnsi="仿宋_GB2312" w:eastAsia="仿宋_GB2312" w:cs="仿宋_GB2312"/>
          <w:sz w:val="32"/>
          <w:szCs w:val="32"/>
        </w:rPr>
        <w:t>指在基本支出之外为完成特定工作任务和事业发展目标所发生的支出。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七、对个人和家庭的补助：</w:t>
      </w:r>
      <w:r>
        <w:rPr>
          <w:rFonts w:hint="eastAsia" w:ascii="仿宋_GB2312" w:hAnsi="仿宋_GB2312" w:eastAsia="仿宋_GB2312" w:cs="仿宋_GB2312"/>
          <w:sz w:val="32"/>
          <w:szCs w:val="32"/>
        </w:rPr>
        <w:t>是指政府用于对个人和家庭的补助支出。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八、“三公”经费：</w:t>
      </w:r>
      <w:r>
        <w:rPr>
          <w:rFonts w:hint="eastAsia" w:ascii="仿宋_GB2312" w:hAnsi="仿宋_GB2312" w:eastAsia="仿宋_GB2312" w:cs="仿宋_GB2312"/>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九、机关运行经费：</w:t>
      </w:r>
      <w:r>
        <w:rPr>
          <w:rFonts w:hint="eastAsia" w:ascii="仿宋_GB2312" w:hAnsi="仿宋_GB2312" w:eastAsia="仿宋_GB2312" w:cs="仿宋_GB2312"/>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autoSpaceDE/>
        <w:autoSpaceDN/>
        <w:bidi w:val="0"/>
        <w:adjustRightInd/>
        <w:spacing w:line="360" w:lineRule="auto"/>
        <w:ind w:left="0" w:leftChars="0" w:right="0" w:firstLine="643" w:firstLineChars="200"/>
        <w:textAlignment w:val="auto"/>
        <w:rPr>
          <w:rFonts w:eastAsia="仿宋_GB2312" w:cstheme="minorBidi"/>
          <w:b/>
          <w:bCs/>
          <w:sz w:val="32"/>
          <w:szCs w:val="32"/>
        </w:rPr>
      </w:pPr>
    </w:p>
    <w:p>
      <w:pPr>
        <w:pageBreakBefore w:val="0"/>
        <w:kinsoku/>
        <w:wordWrap/>
        <w:overflowPunct/>
        <w:topLinePunct w:val="0"/>
        <w:autoSpaceDE/>
        <w:autoSpaceDN/>
        <w:bidi w:val="0"/>
        <w:adjustRightInd/>
        <w:spacing w:line="360" w:lineRule="auto"/>
        <w:ind w:left="0" w:leftChars="0" w:right="0" w:firstLine="720" w:firstLineChars="200"/>
        <w:jc w:val="center"/>
        <w:textAlignment w:val="auto"/>
        <w:rPr>
          <w:rFonts w:hint="eastAsia" w:ascii="方正小标宋简体" w:hAnsi="方正小标宋简体" w:eastAsia="方正小标宋简体" w:cs="方正小标宋简体"/>
          <w:b w:val="0"/>
          <w:bCs w:val="0"/>
          <w:sz w:val="36"/>
          <w:szCs w:val="36"/>
        </w:rPr>
      </w:pPr>
    </w:p>
    <w:p>
      <w:pP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br w:type="page"/>
      </w:r>
    </w:p>
    <w:p>
      <w:pPr>
        <w:pageBreakBefore w:val="0"/>
        <w:kinsoku/>
        <w:wordWrap/>
        <w:overflowPunct/>
        <w:topLinePunct w:val="0"/>
        <w:autoSpaceDE/>
        <w:autoSpaceDN/>
        <w:bidi w:val="0"/>
        <w:adjustRightInd/>
        <w:spacing w:line="360" w:lineRule="auto"/>
        <w:ind w:left="0" w:leftChars="0" w:right="0" w:firstLine="720" w:firstLineChars="200"/>
        <w:jc w:val="center"/>
        <w:textAlignment w:val="auto"/>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autoSpaceDE/>
        <w:autoSpaceDN/>
        <w:bidi w:val="0"/>
        <w:adjustRightInd/>
        <w:spacing w:line="360" w:lineRule="auto"/>
        <w:ind w:left="0" w:leftChars="0" w:right="0" w:firstLine="592" w:firstLineChars="200"/>
        <w:textAlignment w:val="auto"/>
        <w:rPr>
          <w:rFonts w:hint="eastAsia" w:ascii="仿宋_GB2312" w:hAnsi="仿宋_GB2312" w:eastAsia="仿宋_GB2312" w:cs="仿宋_GB2312"/>
          <w:sz w:val="32"/>
          <w:szCs w:val="32"/>
        </w:rPr>
        <w:sectPr>
          <w:headerReference r:id="rId5" w:type="default"/>
          <w:footerReference r:id="rId6" w:type="default"/>
          <w:pgSz w:w="11910" w:h="16840"/>
          <w:pgMar w:top="1580" w:right="1020" w:bottom="280" w:left="1240" w:header="720" w:footer="720" w:gutter="0"/>
          <w:pgNumType w:fmt="numberInDash"/>
          <w:cols w:space="720" w:num="1"/>
        </w:sectPr>
      </w:pPr>
      <w:r>
        <w:rPr>
          <w:rFonts w:hint="eastAsia" w:ascii="仿宋_GB2312" w:hAnsi="仿宋_GB2312" w:eastAsia="仿宋_GB2312" w:cs="仿宋_GB2312"/>
          <w:spacing w:val="-12"/>
          <w:sz w:val="32"/>
          <w:szCs w:val="32"/>
          <w:u w:val="none" w:color="auto"/>
        </w:rPr>
        <w:t>联</w:t>
      </w:r>
      <w:r>
        <w:rPr>
          <w:rFonts w:hint="eastAsia" w:ascii="仿宋_GB2312" w:hAnsi="仿宋_GB2312" w:eastAsia="仿宋_GB2312" w:cs="仿宋_GB2312"/>
          <w:spacing w:val="-11"/>
          <w:sz w:val="32"/>
          <w:szCs w:val="32"/>
          <w:u w:val="none" w:color="auto"/>
        </w:rPr>
        <w:t>系</w:t>
      </w:r>
      <w:r>
        <w:rPr>
          <w:rFonts w:hint="eastAsia" w:ascii="仿宋_GB2312" w:hAnsi="仿宋_GB2312" w:eastAsia="仿宋_GB2312" w:cs="仿宋_GB2312"/>
          <w:spacing w:val="-6"/>
          <w:sz w:val="32"/>
          <w:szCs w:val="32"/>
          <w:u w:val="none" w:color="auto"/>
        </w:rPr>
        <w:t xml:space="preserve">人：  </w:t>
      </w:r>
      <w:r>
        <w:rPr>
          <w:rFonts w:hint="eastAsia" w:ascii="仿宋_GB2312" w:hAnsi="仿宋_GB2312" w:eastAsia="仿宋_GB2312" w:cs="仿宋_GB2312"/>
          <w:spacing w:val="-6"/>
          <w:sz w:val="32"/>
          <w:szCs w:val="32"/>
          <w:u w:val="none" w:color="auto"/>
          <w:lang w:val="en-US" w:eastAsia="zh-CN"/>
        </w:rPr>
        <w:t>黄红琴</w:t>
      </w:r>
      <w:r>
        <w:rPr>
          <w:rFonts w:hint="eastAsia" w:ascii="仿宋_GB2312" w:hAnsi="仿宋_GB2312" w:eastAsia="仿宋_GB2312" w:cs="仿宋_GB2312"/>
          <w:spacing w:val="-6"/>
          <w:sz w:val="32"/>
          <w:szCs w:val="32"/>
          <w:u w:val="none" w:color="auto"/>
        </w:rPr>
        <w:t xml:space="preserve">             联系电话：</w:t>
      </w:r>
      <w:r>
        <w:rPr>
          <w:rFonts w:hint="eastAsia" w:ascii="仿宋_GB2312" w:hAnsi="仿宋_GB2312" w:eastAsia="仿宋_GB2312" w:cs="仿宋_GB2312"/>
          <w:spacing w:val="-6"/>
          <w:sz w:val="32"/>
          <w:szCs w:val="32"/>
          <w:u w:val="none" w:color="auto"/>
          <w:lang w:val="en-US" w:eastAsia="zh-CN"/>
        </w:rPr>
        <w:t>13847902000</w:t>
      </w:r>
    </w:p>
    <w:p>
      <w:pPr>
        <w:pStyle w:val="7"/>
        <w:pageBreakBefore w:val="0"/>
        <w:tabs>
          <w:tab w:val="left" w:pos="4392"/>
        </w:tabs>
        <w:kinsoku/>
        <w:wordWrap/>
        <w:overflowPunct/>
        <w:topLinePunct w:val="0"/>
        <w:bidi w:val="0"/>
        <w:spacing w:before="0" w:after="0" w:line="600" w:lineRule="exact"/>
        <w:jc w:val="center"/>
        <w:rPr>
          <w:sz w:val="23"/>
        </w:rPr>
      </w:pPr>
      <w:r>
        <w:rPr>
          <w:rFonts w:hint="eastAsia" w:ascii="方正小标宋简体" w:hAnsi="方正小标宋简体" w:eastAsia="方正小标宋简体" w:cs="方正小标宋简体"/>
          <w:b w:val="0"/>
          <w:bCs w:val="0"/>
          <w:sz w:val="36"/>
          <w:szCs w:val="36"/>
        </w:rPr>
        <w:t xml:space="preserve">第五部分  </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sz w:val="36"/>
          <w:szCs w:val="36"/>
          <w:lang w:eastAsia="zh-CN"/>
        </w:rPr>
        <w:t>锡林郭勒盟</w:t>
      </w:r>
      <w:r>
        <w:rPr>
          <w:rFonts w:hint="eastAsia" w:ascii="方正小标宋简体" w:hAnsi="方正小标宋简体" w:eastAsia="方正小标宋简体" w:cs="方正小标宋简体"/>
          <w:b w:val="0"/>
          <w:bCs w:val="0"/>
          <w:sz w:val="36"/>
          <w:szCs w:val="36"/>
          <w:lang w:val="en-US" w:eastAsia="zh-CN"/>
        </w:rPr>
        <w:t>科学技术协会</w:t>
      </w:r>
      <w:r>
        <w:rPr>
          <w:rFonts w:hint="eastAsia" w:ascii="方正小标宋简体" w:hAnsi="方正小标宋简体" w:eastAsia="方正小标宋简体" w:cs="方正小标宋简体"/>
          <w:b w:val="0"/>
          <w:bCs w:val="0"/>
          <w:sz w:val="36"/>
          <w:szCs w:val="36"/>
        </w:rPr>
        <w:t>部门预算表</w:t>
      </w:r>
    </w:p>
    <w:tbl>
      <w:tblPr>
        <w:tblStyle w:val="19"/>
        <w:tblW w:w="9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62"/>
        <w:gridCol w:w="1681"/>
        <w:gridCol w:w="3343"/>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3" w:type="dxa"/>
            <w:gridSpan w:val="2"/>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      入</w:t>
            </w:r>
          </w:p>
        </w:tc>
        <w:tc>
          <w:tcPr>
            <w:tcW w:w="5323" w:type="dxa"/>
            <w:gridSpan w:val="2"/>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62"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    目</w:t>
            </w:r>
          </w:p>
        </w:tc>
        <w:tc>
          <w:tcPr>
            <w:tcW w:w="168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c>
          <w:tcPr>
            <w:tcW w:w="3343"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    目</w:t>
            </w:r>
          </w:p>
        </w:tc>
        <w:tc>
          <w:tcPr>
            <w:tcW w:w="198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一、一般公共预算拨款收入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4,822,925.97</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一、一般公共服务支出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二、政府性基金预算拨款收入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二、外交支出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三、国有资本经营预算拨款收入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三、国防支出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四、财政专户管理资金收入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四、公共安全支出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五、事业收入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五、教育支出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六、事业单位经营收入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六、科学技术支出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3,842,056.33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七、上级补助收入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七、文化体育旅游与传媒支出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八、附属单位上缴收入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八、社会保障和就业支出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482,792.55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九、其他收入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九、社会保险基金支出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十、卫生健康支出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257,405.15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十一、节能环保支出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十二、城市社区支出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十三、农林水支出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十四、交通运输支出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十五、资源勘探工业信息等支出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十六、商业服务业等支出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十七、金融支出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十八、援助其他地区支出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十九、自然资源海洋气象等支出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二十、住房保障支出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388,094.24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二十一、粮油物资储备支出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二十二、国有资本经营预算支出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二十三、灾害防治及应急管理支出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二十四、预备费</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二十五、其他支出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二十六、转移性支付</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二十七、债务还本支出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二十八、债务付息支出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二十九、债务发行费用支出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三十、抗疫特别国债还本支出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三十一、与中央财政往来性支出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本年收入合计</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4,822,925.97</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本年支出合计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4,970,348.27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上年结转结余</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年终结转结余</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    入    总    计</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4,970,348.27</w:t>
            </w:r>
          </w:p>
        </w:tc>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    出    总    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4,970,348.27</w:t>
            </w:r>
          </w:p>
        </w:tc>
      </w:tr>
    </w:tbl>
    <w:p>
      <w:pPr>
        <w:pageBreakBefore w:val="0"/>
        <w:kinsoku/>
        <w:wordWrap/>
        <w:overflowPunct/>
        <w:topLinePunct w:val="0"/>
        <w:bidi w:val="0"/>
        <w:spacing w:line="600" w:lineRule="exact"/>
        <w:rPr>
          <w:rFonts w:hint="eastAsia" w:ascii="方正仿宋_GB2312" w:hAnsi="方正仿宋_GB2312" w:eastAsia="方正仿宋_GB2312" w:cs="方正仿宋_GB2312"/>
          <w:sz w:val="20"/>
          <w:szCs w:val="20"/>
        </w:rPr>
        <w:sectPr>
          <w:pgSz w:w="11910" w:h="16840"/>
          <w:pgMar w:top="1580" w:right="1080" w:bottom="280" w:left="1080" w:header="720" w:footer="720" w:gutter="0"/>
          <w:pgNumType w:fmt="numberInDash"/>
          <w:cols w:space="720" w:num="1"/>
          <w:docGrid w:linePitch="286" w:charSpace="0"/>
        </w:sectPr>
      </w:pPr>
    </w:p>
    <w:tbl>
      <w:tblPr>
        <w:tblStyle w:val="19"/>
        <w:tblW w:w="162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4"/>
        <w:gridCol w:w="2277"/>
        <w:gridCol w:w="1405"/>
        <w:gridCol w:w="1391"/>
        <w:gridCol w:w="1336"/>
        <w:gridCol w:w="505"/>
        <w:gridCol w:w="531"/>
        <w:gridCol w:w="546"/>
        <w:gridCol w:w="518"/>
        <w:gridCol w:w="464"/>
        <w:gridCol w:w="491"/>
        <w:gridCol w:w="531"/>
        <w:gridCol w:w="491"/>
        <w:gridCol w:w="1214"/>
        <w:gridCol w:w="1147"/>
        <w:gridCol w:w="450"/>
        <w:gridCol w:w="495"/>
        <w:gridCol w:w="570"/>
        <w:gridCol w:w="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287" w:type="dxa"/>
            <w:gridSpan w:val="1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8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64" w:type="dxa"/>
            <w:vMerge w:val="restar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部门（单位）代码</w:t>
            </w:r>
          </w:p>
        </w:tc>
        <w:tc>
          <w:tcPr>
            <w:tcW w:w="2277" w:type="dxa"/>
            <w:vMerge w:val="restar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部门（单位）名称</w:t>
            </w:r>
          </w:p>
        </w:tc>
        <w:tc>
          <w:tcPr>
            <w:tcW w:w="1405" w:type="dxa"/>
            <w:vMerge w:val="restar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6804" w:type="dxa"/>
            <w:gridSpan w:val="10"/>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本年收入</w:t>
            </w:r>
          </w:p>
        </w:tc>
        <w:tc>
          <w:tcPr>
            <w:tcW w:w="4337" w:type="dxa"/>
            <w:gridSpan w:val="6"/>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64" w:type="dxa"/>
            <w:vMerge w:val="continue"/>
            <w:tcBorders>
              <w:top w:val="nil"/>
              <w:left w:val="nil"/>
              <w:bottom w:val="nil"/>
              <w:right w:val="nil"/>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277" w:type="dxa"/>
            <w:vMerge w:val="continue"/>
            <w:tcBorders>
              <w:top w:val="nil"/>
              <w:left w:val="nil"/>
              <w:bottom w:val="nil"/>
              <w:right w:val="nil"/>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405" w:type="dxa"/>
            <w:vMerge w:val="continue"/>
            <w:tcBorders>
              <w:top w:val="nil"/>
              <w:left w:val="nil"/>
              <w:bottom w:val="nil"/>
              <w:right w:val="nil"/>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391"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小计</w:t>
            </w:r>
          </w:p>
        </w:tc>
        <w:tc>
          <w:tcPr>
            <w:tcW w:w="1336"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505"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531"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546"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518"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事业收入</w:t>
            </w:r>
          </w:p>
        </w:tc>
        <w:tc>
          <w:tcPr>
            <w:tcW w:w="464"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事业单位经营收入</w:t>
            </w:r>
          </w:p>
        </w:tc>
        <w:tc>
          <w:tcPr>
            <w:tcW w:w="491"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上级补助收入</w:t>
            </w:r>
          </w:p>
        </w:tc>
        <w:tc>
          <w:tcPr>
            <w:tcW w:w="531"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附属单位上缴收入</w:t>
            </w:r>
          </w:p>
        </w:tc>
        <w:tc>
          <w:tcPr>
            <w:tcW w:w="491"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其他收入</w:t>
            </w:r>
          </w:p>
        </w:tc>
        <w:tc>
          <w:tcPr>
            <w:tcW w:w="1214"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小计</w:t>
            </w:r>
          </w:p>
        </w:tc>
        <w:tc>
          <w:tcPr>
            <w:tcW w:w="1147"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450"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495"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570"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461"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锡林郭勒盟科学技术协会（部门）</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4,970,348.27</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4,822,925.97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4,822,925.97</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147,422.30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3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3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3,921,225.54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3,773,803.24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3,773,803.24</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147,422.30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3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3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1,049,122.73</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1,049,122.73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1,049,122.73</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4,970,348.27</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4,822,925.97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4,822,925.97</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147,422.30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147,422.30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bl>
    <w:p>
      <w:pPr>
        <w:pStyle w:val="2"/>
        <w:ind w:left="0" w:leftChars="0" w:firstLine="0" w:firstLineChars="0"/>
        <w:rPr>
          <w:rFonts w:hint="eastAsia" w:ascii="方正仿宋_GB2312" w:hAnsi="方正仿宋_GB2312" w:eastAsia="方正仿宋_GB2312" w:cs="方正仿宋_GB2312"/>
          <w:sz w:val="20"/>
          <w:szCs w:val="20"/>
        </w:rPr>
      </w:pPr>
    </w:p>
    <w:p>
      <w:pP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br w:type="page"/>
      </w:r>
    </w:p>
    <w:p>
      <w:pPr>
        <w:pStyle w:val="2"/>
        <w:rPr>
          <w:rFonts w:hint="eastAsia"/>
        </w:rPr>
      </w:pPr>
    </w:p>
    <w:tbl>
      <w:tblPr>
        <w:tblStyle w:val="19"/>
        <w:tblW w:w="162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5"/>
        <w:gridCol w:w="4142"/>
        <w:gridCol w:w="2070"/>
        <w:gridCol w:w="2385"/>
        <w:gridCol w:w="1845"/>
        <w:gridCol w:w="1349"/>
        <w:gridCol w:w="123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221"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21"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05"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科目编码</w:t>
            </w:r>
          </w:p>
        </w:tc>
        <w:tc>
          <w:tcPr>
            <w:tcW w:w="4142"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科目名称</w:t>
            </w:r>
          </w:p>
        </w:tc>
        <w:tc>
          <w:tcPr>
            <w:tcW w:w="2070"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2385"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基本支出</w:t>
            </w:r>
          </w:p>
        </w:tc>
        <w:tc>
          <w:tcPr>
            <w:tcW w:w="1845"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项目支出</w:t>
            </w:r>
          </w:p>
        </w:tc>
        <w:tc>
          <w:tcPr>
            <w:tcW w:w="1349"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事业单位经营支出</w:t>
            </w:r>
          </w:p>
        </w:tc>
        <w:tc>
          <w:tcPr>
            <w:tcW w:w="1230"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上缴上级支出</w:t>
            </w:r>
          </w:p>
        </w:tc>
        <w:tc>
          <w:tcPr>
            <w:tcW w:w="1695"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3,842,056.33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2,894,634.03</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947,422.30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3,842,056.33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2,894,634.03</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947,422.30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机构运行</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2,894,634.03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2,894,634.03</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科普活动</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947,422.30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947,422.30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社会保障和就业支出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482,792.55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482,792.55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行政事业单位养老支出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482,792.55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482,792.55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2080501</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行政单位离退休</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164,672.40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2080505</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机关事业单位基本养老保险缴费支出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318,120.15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318,120.15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卫生健康支出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257,405.15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257,405.15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行政事业单位医疗</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257,405.15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257,405.15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2101101</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行政单位医疗</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203,544.09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203,544.09</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2101102</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事业单位医疗</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35,438.19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35,438.19</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2101103</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公务员医疗补助</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18,422.87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18,422.87</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住房保障支出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388,094.24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388,094.24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住房改革支出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388,094.24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388,094.24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2210201</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住房公积金</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303,088.72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303,088.72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2210203</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购房补贴</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85,005.52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85,005.52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4,970,348.27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4,022,925.97</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947,422.30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bl>
    <w:p>
      <w:pPr>
        <w:pStyle w:val="2"/>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1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71"/>
        <w:gridCol w:w="3330"/>
        <w:gridCol w:w="4935"/>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111"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11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101" w:type="dxa"/>
            <w:gridSpan w:val="2"/>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      入</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7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w:t>
            </w:r>
          </w:p>
        </w:tc>
        <w:tc>
          <w:tcPr>
            <w:tcW w:w="333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c>
          <w:tcPr>
            <w:tcW w:w="493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w:t>
            </w:r>
          </w:p>
        </w:tc>
        <w:tc>
          <w:tcPr>
            <w:tcW w:w="307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一、本年收入</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4,822,925.97</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一、本年支出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4,970,348.27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（一）一般公共预算拨款</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4,822,925.97</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（一）一般公共服务支出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（二）政府性基金预算拨款</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（二）外交支出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（三）国有资本经营预算拨款</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（三）国防支出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二、上年结转</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（四）公共安全支出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（一）一般公共预算拨款</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（五）教育支出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（二）政府性基金预算拨款</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（六）科学技术支出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3,842,056.33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（三）国有资本经营预算拨款</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（七）文化体育旅游与传媒支出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（八）社会保障和就业支出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482,792.55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（九）社会保险基金支出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（十）卫生健康支出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257,405.15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（十一）节能环保支出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（十二）城市社区支出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（十三）农林水支出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（十四）交通运输支出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（十五）资源勘探工业信息等支出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（十六）商业服务业等支出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（十七）金融支出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（十八）援助其他地区支出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（十九）自然资源海洋气象等支出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（二十）住房保障支出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388,094.24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（二十一）粮油物资储备支出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（二十二）国有资本经营预算支出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（二十三）灾害防治及应急管理支出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（二十四）预备费</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（二十五）其他支出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（二十六）转移性支付</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（二十七）债务还本支出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（二十八）债务付息支出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（二十九）债务发行费用支出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（三十）抗疫特别国债还本支出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（三十一）与中央财政往来性支出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二、年终结转结余</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    入    总    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4,970,348.27</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    出    总    计</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4,970,348.27</w:t>
            </w: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2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9"/>
        <w:gridCol w:w="5031"/>
        <w:gridCol w:w="2386"/>
        <w:gridCol w:w="2074"/>
        <w:gridCol w:w="2012"/>
        <w:gridCol w:w="1654"/>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25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51"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9" w:type="dxa"/>
            <w:vMerge w:val="restar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科目编码</w:t>
            </w:r>
          </w:p>
        </w:tc>
        <w:tc>
          <w:tcPr>
            <w:tcW w:w="5031" w:type="dxa"/>
            <w:vMerge w:val="restar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科目名称</w:t>
            </w:r>
          </w:p>
        </w:tc>
        <w:tc>
          <w:tcPr>
            <w:tcW w:w="2386" w:type="dxa"/>
            <w:vMerge w:val="restar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5740" w:type="dxa"/>
            <w:gridSpan w:val="3"/>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基本支出</w:t>
            </w:r>
          </w:p>
        </w:tc>
        <w:tc>
          <w:tcPr>
            <w:tcW w:w="1485" w:type="dxa"/>
            <w:vMerge w:val="restar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09" w:type="dxa"/>
            <w:vMerge w:val="continue"/>
            <w:tcBorders>
              <w:top w:val="nil"/>
              <w:left w:val="nil"/>
              <w:bottom w:val="nil"/>
              <w:right w:val="nil"/>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5031" w:type="dxa"/>
            <w:vMerge w:val="continue"/>
            <w:tcBorders>
              <w:top w:val="nil"/>
              <w:left w:val="nil"/>
              <w:bottom w:val="nil"/>
              <w:right w:val="nil"/>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386" w:type="dxa"/>
            <w:vMerge w:val="continue"/>
            <w:tcBorders>
              <w:top w:val="nil"/>
              <w:left w:val="nil"/>
              <w:bottom w:val="nil"/>
              <w:right w:val="nil"/>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074"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小计</w:t>
            </w:r>
          </w:p>
        </w:tc>
        <w:tc>
          <w:tcPr>
            <w:tcW w:w="2012"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人员经费</w:t>
            </w:r>
          </w:p>
        </w:tc>
        <w:tc>
          <w:tcPr>
            <w:tcW w:w="1654"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公用经费</w:t>
            </w:r>
          </w:p>
        </w:tc>
        <w:tc>
          <w:tcPr>
            <w:tcW w:w="1485" w:type="dxa"/>
            <w:vMerge w:val="continue"/>
            <w:tcBorders>
              <w:top w:val="nil"/>
              <w:left w:val="nil"/>
              <w:bottom w:val="nil"/>
              <w:right w:val="nil"/>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3,842,056.33</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2,894,634.03</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2,533,354.19</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361,279.84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947,422.30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3,842,056.33</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2,894,634.03</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2,533,354.19</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361,279.84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947,422.30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机构运行</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2,894,634.03</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2,894,634.03</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2,533,354.19</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361,279.84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科普活动</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947,422.30</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947,422.30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社会保障和就业支出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482,792.55</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482,792.55</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482,792.55</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行政事业单位养老支出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482,792.55</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482,792.55</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482,792.55</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2080501</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行政单位离退休</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164,672.40</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2080505</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机关事业单位基本养老保险缴费支出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318,120.15</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318,120.15</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318,120.15</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卫生健康支出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257,405.15</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257,405.15</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257,405.15</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行政事业单位医疗</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257,405.15</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257,405.15</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257,405.15</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2101101</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行政单位医疗</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203,544.09</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203,544.09</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203,544.09</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2101102</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事业单位医疗</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35,438.19</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35,438.19</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35,438.19</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2101103</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公务员医疗补助</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18,422.87</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18,422.87</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18,422.87</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住房保障支出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388,094.24</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388,094.24</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388,094.24</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住房改革支出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388,094.24</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388,094.24</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388,094.24</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2210201</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住房公积金</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303,088.72</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303,088.72</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303,088.72</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2210203</w:t>
            </w:r>
          </w:p>
        </w:tc>
        <w:tc>
          <w:tcPr>
            <w:tcW w:w="5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购房补贴</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85,005.52</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85,005.52</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85,005.52</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4,970,348.27</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4,022,925.97</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3,661,646.13</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361,279.84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947,422.30</w:t>
            </w:r>
          </w:p>
        </w:tc>
      </w:tr>
    </w:tbl>
    <w:p>
      <w:pPr>
        <w:pStyle w:val="2"/>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2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50"/>
        <w:gridCol w:w="5769"/>
        <w:gridCol w:w="3091"/>
        <w:gridCol w:w="3052"/>
        <w:gridCol w:w="2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287"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87"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19" w:type="dxa"/>
            <w:gridSpan w:val="2"/>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部门预算支出经济分类科目</w:t>
            </w:r>
          </w:p>
        </w:tc>
        <w:tc>
          <w:tcPr>
            <w:tcW w:w="8368" w:type="dxa"/>
            <w:gridSpan w:val="3"/>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50"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科目编码</w:t>
            </w:r>
          </w:p>
        </w:tc>
        <w:tc>
          <w:tcPr>
            <w:tcW w:w="5769"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科目名称</w:t>
            </w:r>
          </w:p>
        </w:tc>
        <w:tc>
          <w:tcPr>
            <w:tcW w:w="3091"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3052"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人员经费</w:t>
            </w:r>
          </w:p>
        </w:tc>
        <w:tc>
          <w:tcPr>
            <w:tcW w:w="2225"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3,378,440.09</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3,378,440.09</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30101</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基本工资</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959,941.20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959,941.20</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30102</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津贴补贴</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915,262.12</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915,262.12</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30103</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奖金</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271,466.14</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271,466.14</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30107</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绩效工资</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223,195.80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223,195.80</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30108</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机关事业单位基本养老保险缴费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318,120.15</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318,120.15</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30110</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职工基本医疗保险缴费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120,448.64</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120,448.64</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30111</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公务员医疗补助缴费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18,422.87</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18,422.87</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30112</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其他社会保障缴费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6,894.80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6,894.80</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30113</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住房公积金</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303,088.72</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303,088.72</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30199</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其他工资福利支出</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241,599.65</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241,599.65</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商品和服务支出</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361,279.84</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361,279.84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30201</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办公费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15,300.00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30204</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手续费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1,500.00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30207</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邮电费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30211</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差旅费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16,000.00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30213</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维修（护）费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30216</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培训费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30217</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公务接待费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30226</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劳务费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3,600.00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30228</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工会经费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50,751.01</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50,751.01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30229</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福利费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52,133.83</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52,133.83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30231</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公务用车运行维护费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73,000.00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30239</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其他交通费用</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130,995.00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130,995.00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30299</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其他商品和服务支出</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6,000.00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对个人和家庭的补助</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283,206.04</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283,206.04</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30302</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30307</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医疗费补助</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118,533.64</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118,533.64</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4,022,925.97</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3,661,646.13</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361,279.84</w:t>
            </w: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1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9"/>
        <w:gridCol w:w="3105"/>
        <w:gridCol w:w="2029"/>
        <w:gridCol w:w="2029"/>
        <w:gridCol w:w="1405"/>
        <w:gridCol w:w="1740"/>
        <w:gridCol w:w="1784"/>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128"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12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29"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部门（单位）代码</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部门（单位）名称</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“三公”经费合计</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因公出国（境）费</w:t>
            </w:r>
          </w:p>
        </w:tc>
        <w:tc>
          <w:tcPr>
            <w:tcW w:w="4929"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公务用车购置及运行费</w:t>
            </w:r>
          </w:p>
        </w:tc>
        <w:tc>
          <w:tcPr>
            <w:tcW w:w="2007"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小计</w:t>
            </w:r>
          </w:p>
        </w:tc>
        <w:tc>
          <w:tcPr>
            <w:tcW w:w="174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公务用车购置费</w:t>
            </w:r>
          </w:p>
        </w:tc>
        <w:tc>
          <w:tcPr>
            <w:tcW w:w="178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公务用车运行费</w:t>
            </w: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70,000.00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65,000.00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65,000.00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8,000.00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8,000.00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8,000.00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78,000.00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73,000.00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73,000.00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5,000.00</w:t>
            </w:r>
          </w:p>
        </w:tc>
      </w:tr>
    </w:tbl>
    <w:p>
      <w:pPr>
        <w:pStyle w:val="2"/>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1"/>
        <w:gridCol w:w="2664"/>
        <w:gridCol w:w="2219"/>
        <w:gridCol w:w="272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266"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66"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51"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科目编码</w:t>
            </w:r>
          </w:p>
        </w:tc>
        <w:tc>
          <w:tcPr>
            <w:tcW w:w="2664"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科目名称</w:t>
            </w:r>
          </w:p>
        </w:tc>
        <w:tc>
          <w:tcPr>
            <w:tcW w:w="7951"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51"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664"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21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2723"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基本支出</w:t>
            </w:r>
          </w:p>
        </w:tc>
        <w:tc>
          <w:tcPr>
            <w:tcW w:w="300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65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664"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21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72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300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651"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注：本单位无政府性基金预算。</w:t>
            </w:r>
          </w:p>
        </w:tc>
        <w:tc>
          <w:tcPr>
            <w:tcW w:w="2664"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21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72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300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2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3"/>
        <w:gridCol w:w="2597"/>
        <w:gridCol w:w="2129"/>
        <w:gridCol w:w="2704"/>
        <w:gridCol w:w="2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51"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51"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83"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科目编码</w:t>
            </w:r>
          </w:p>
        </w:tc>
        <w:tc>
          <w:tcPr>
            <w:tcW w:w="2597"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科目名称</w:t>
            </w:r>
          </w:p>
        </w:tc>
        <w:tc>
          <w:tcPr>
            <w:tcW w:w="7771"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83"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597"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12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270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基本支出</w:t>
            </w:r>
          </w:p>
        </w:tc>
        <w:tc>
          <w:tcPr>
            <w:tcW w:w="2938"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88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59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12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704"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938"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88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注：本单位无国有资本经营预算。</w:t>
            </w:r>
          </w:p>
        </w:tc>
        <w:tc>
          <w:tcPr>
            <w:tcW w:w="259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12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704"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938"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bl>
    <w:p>
      <w:pPr>
        <w:pStyle w:val="2"/>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2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1242"/>
        <w:gridCol w:w="2098"/>
        <w:gridCol w:w="1049"/>
        <w:gridCol w:w="1365"/>
        <w:gridCol w:w="1455"/>
        <w:gridCol w:w="1545"/>
        <w:gridCol w:w="900"/>
        <w:gridCol w:w="930"/>
        <w:gridCol w:w="1560"/>
        <w:gridCol w:w="870"/>
        <w:gridCol w:w="780"/>
        <w:gridCol w:w="79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216" w:type="dxa"/>
            <w:gridSpan w:val="1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16"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类型</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单位编码</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项目单位</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本年拨款</w:t>
            </w:r>
          </w:p>
        </w:tc>
        <w:tc>
          <w:tcPr>
            <w:tcW w:w="3210"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财政拨款结转结余</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90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93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156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87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78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152500235063210000008</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基层科普行动计划   内财科〔2023〕146号</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620,000.00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620,000.00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947,422.30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800,000.00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147,422.30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38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9"/>
        <w:gridCol w:w="1616"/>
        <w:gridCol w:w="1135"/>
        <w:gridCol w:w="1030"/>
        <w:gridCol w:w="709"/>
        <w:gridCol w:w="1131"/>
        <w:gridCol w:w="1823"/>
        <w:gridCol w:w="1179"/>
        <w:gridCol w:w="1704"/>
        <w:gridCol w:w="1172"/>
        <w:gridCol w:w="1363"/>
        <w:gridCol w:w="423"/>
        <w:gridCol w:w="397"/>
        <w:gridCol w:w="480"/>
        <w:gridCol w:w="480"/>
        <w:gridCol w:w="435"/>
        <w:gridCol w:w="420"/>
        <w:gridCol w:w="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381" w:type="dxa"/>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381"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基本支出预算明细表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单位编码</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预算单位</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预算级次</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三保标识</w:t>
            </w:r>
          </w:p>
        </w:tc>
        <w:tc>
          <w:tcPr>
            <w:tcW w:w="1823"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支出功能分类科目</w:t>
            </w:r>
          </w:p>
        </w:tc>
        <w:tc>
          <w:tcPr>
            <w:tcW w:w="2883" w:type="dxa"/>
            <w:gridSpan w:val="2"/>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部门预算支出经济分类科目</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政府预算支出经济分类科目</w:t>
            </w:r>
          </w:p>
        </w:tc>
        <w:tc>
          <w:tcPr>
            <w:tcW w:w="2183"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本年拨款</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财政拨款结转结余</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883" w:type="dxa"/>
            <w:gridSpan w:val="2"/>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423"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39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48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48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435"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152500245061110000029</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2210201-住房公积金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30113-住房公积金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50103-住房公积金</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214,482.97</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152500245061110000029</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2210203-购房补贴</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30102-津贴补贴</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50101-工资奖金津补贴</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54,657.05</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30112-其他社会保障缴费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50102-社会保障缴费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2,809.18</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2080505-机关事业单位基本养老保险缴费支出</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30108-机关事业单位基本养老保险缴费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50102-社会保障缴费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224,734.61</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2101101-行政单位医疗</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30110-职工基本医疗保险缴费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50102-社会保障缴费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85,010.45</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2101103-公务员医疗补助</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30111-公务员医疗补助缴费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50102-社会保障缴费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13,008.53</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30101-基本工资</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50101-工资奖金津补贴</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677,250.30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30102-津贴补贴</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50101-工资奖金津补贴</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725,760.30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30103-奖金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50101-工资奖金津补贴</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205,067.66</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30199-其他工资福利支出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50199-其他工资福利支出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179,819.85</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152500245061210000004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退休保险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004003-其他刚性支出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2101101-行政单位医疗</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303-对个人和家庭的补助</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30307-医疗费补助</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50901-社会福利和救助</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118,533.64</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152500245061210000006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离退休费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2080501-行政单位离退休</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303-对个人和家庭的补助</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30302-退休费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50905-离退休费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30201-办公费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12,000.00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30204-手续费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30207-邮电费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30211-差旅费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30213-维修（护）费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50209-维修（护）费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30216-培训费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50203-培训费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30217-公务接待费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50206-公务接待费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30226-劳务费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50205-委托业务费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30299-其他商品和服务支出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50299-其他商品和服务支出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152500245062110000014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30228-工会经费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35,873.17</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152500245062110000014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30229-福利费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31,728.13</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152500245062110000014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30239-其他交通费用</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130,995.00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152500245062110000017</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30231-公务用车运行维护费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50208-公务用车运行维护费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65,000.00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152500245062110000020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30229-福利费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5,400.00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2210201-住房公积金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30113-住房公积金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50501-工资福利支出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88,605.75</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2210203-购房补贴</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30102-津贴补贴</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50501-工资福利支出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30,348.47</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30112-其他社会保障缴费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50501-工资福利支出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4,085.62</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2080505-机关事业单位基本养老保险缴费支出</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30108-机关事业单位基本养老保险缴费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50501-工资福利支出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93,385.54</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2101102-事业单位医疗</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30110-职工基本医疗保险缴费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50501-工资福利支出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35,438.19</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2101103-公务员医疗补助</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30111-公务员医疗补助缴费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50501-工资福利支出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5,414.34</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152500245061110000037</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30101-基本工资</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50501-工资福利支出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282,690.90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152500245061110000037</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30102-津贴补贴</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50501-工资福利支出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104,496.30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152500245061110000037</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30103-奖金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50501-工资福利支出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66,398.48</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152500245061110000037</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30107-绩效工资</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50501-工资福利支出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223,195.80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152500245061110000037</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30199-其他工资福利支出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50501-工资福利支出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61,779.80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152500245062110000007</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30231-公务用车运行维护费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50502-商品和服务支出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152500245062110000008</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30201-办公费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50502-商品和服务支出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3,300.00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152500245062110000008</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30204-手续费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50502-商品和服务支出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152500245062110000008</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30207-邮电费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50502-商品和服务支出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152500245062110000008</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30211-差旅费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50502-商品和服务支出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152500245062110000008</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30226-劳务费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50502-商品和服务支出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152500245062110000008</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30299-其他商品和服务支出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50502-商品和服务支出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152500245062110000016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30228-工会经费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50502-商品和服务支出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14,877.84</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152500245062110000016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30229-福利费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50502-商品和服务支出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13,205.70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152500245062110000019</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30229-福利费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50502-商品和服务支出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97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4,022,925.97</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bl>
    <w:p>
      <w:pPr>
        <w:pStyle w:val="2"/>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2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1229"/>
        <w:gridCol w:w="769"/>
        <w:gridCol w:w="1183"/>
        <w:gridCol w:w="1989"/>
        <w:gridCol w:w="888"/>
        <w:gridCol w:w="1023"/>
        <w:gridCol w:w="886"/>
        <w:gridCol w:w="982"/>
        <w:gridCol w:w="1296"/>
        <w:gridCol w:w="995"/>
        <w:gridCol w:w="1187"/>
        <w:gridCol w:w="436"/>
        <w:gridCol w:w="382"/>
        <w:gridCol w:w="1145"/>
        <w:gridCol w:w="328"/>
        <w:gridCol w:w="327"/>
        <w:gridCol w:w="354"/>
        <w:gridCol w:w="340"/>
        <w:gridCol w:w="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375" w:hRule="atLeast"/>
        </w:trPr>
        <w:tc>
          <w:tcPr>
            <w:tcW w:w="16231" w:type="dxa"/>
            <w:gridSpan w:val="1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00" w:hRule="atLeast"/>
        </w:trPr>
        <w:tc>
          <w:tcPr>
            <w:tcW w:w="16231"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项目支出预算明细表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92"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2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76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18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98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88"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2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86"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96"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9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18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436"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382"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14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328"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32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354"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单位编码</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预算单位</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类型</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预算级次</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三保标识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支出功能分类科目</w:t>
            </w:r>
          </w:p>
        </w:tc>
        <w:tc>
          <w:tcPr>
            <w:tcW w:w="2278" w:type="dxa"/>
            <w:gridSpan w:val="2"/>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部门预算支出经济分类科目</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政府预算支出经济分类科目</w:t>
            </w:r>
          </w:p>
        </w:tc>
        <w:tc>
          <w:tcPr>
            <w:tcW w:w="2005"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本年拨款</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财政拨款结转结余</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362" w:type="dxa"/>
            <w:gridSpan w:val="2"/>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278" w:type="dxa"/>
            <w:gridSpan w:val="2"/>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436"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38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1145"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328"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32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362" w:type="dxa"/>
            <w:gridSpan w:val="2"/>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152500235063210000008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基层科普行动计划   内财科〔2023〕146号</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30211-差旅费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47,531.50</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152500235063210000008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基层科普行动计划   内财科〔2023〕146号</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30226-劳务费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50205-委托业务费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59,810.80</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152500235063210000008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基层科普行动计划   内财科〔2023〕146号</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30239-其他交通费用</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18,000.00</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152500235063210000008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基层科普行动计划   内财科〔2023〕146号</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30299-其他商品和服务支出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50299-其他商品和服务支出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3,480.00</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152500235063210000008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基层科普行动计划   内财科〔2023〕146号</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2-省级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30201-办公费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18,600.00</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30201-办公费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120,000.00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30211-差旅费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73,400.00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30216-培训费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50203-培训费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180,000.00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30226-劳务费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50205-委托业务费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62,000.00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30227-委托业务费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50205-委托业务费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30239-其他交通费用</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30299-其他商品和服务支出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50299-其他商品和服务支出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4,600.00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2-省级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30211-差旅费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20,000.00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2-省级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30216-培训费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50203-培训费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80,000.00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30201-办公费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40,000.00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30211-差旅费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30215-会议费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50202-会议费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70,000.00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30216-培训费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50203-培训费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40,000.00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30226-劳务费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50205-委托业务费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6,900.00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30299-其他商品和服务支出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50299-其他商品和服务支出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18,100.00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73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800,000.00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147,422.30</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6"/>
        <w:gridCol w:w="3177"/>
        <w:gridCol w:w="1696"/>
        <w:gridCol w:w="2084"/>
        <w:gridCol w:w="1631"/>
        <w:gridCol w:w="2340"/>
        <w:gridCol w:w="2233"/>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267"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67"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转移支付项目情况表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预算部门编码</w:t>
            </w:r>
          </w:p>
        </w:tc>
        <w:tc>
          <w:tcPr>
            <w:tcW w:w="3177"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预算部门</w:t>
            </w:r>
          </w:p>
        </w:tc>
        <w:tc>
          <w:tcPr>
            <w:tcW w:w="1696"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208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163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支出功能分类科目</w:t>
            </w:r>
          </w:p>
        </w:tc>
        <w:tc>
          <w:tcPr>
            <w:tcW w:w="234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转移支付支出功能分类科目</w:t>
            </w:r>
          </w:p>
        </w:tc>
        <w:tc>
          <w:tcPr>
            <w:tcW w:w="2233"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下级转移性收入科目</w:t>
            </w:r>
          </w:p>
        </w:tc>
        <w:tc>
          <w:tcPr>
            <w:tcW w:w="183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内蒙古自治区锡林郭勒盟科学技术协会（部门）</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152500245063210000002</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2024科技馆免费开放补助资金</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2060705-科技馆站</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2300227-固定数额补助支出</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1100227-固定数额补助收入</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内蒙古自治区锡林郭勒盟科学技术协会（部门）</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152500245063210000005</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2024年基层科普行动计划项目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2300227-固定数额补助支出</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1100227-固定数额补助收入</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43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2,650,000.00</w:t>
            </w:r>
          </w:p>
        </w:tc>
      </w:tr>
    </w:tbl>
    <w:p>
      <w:pPr>
        <w:pStyle w:val="2"/>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0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1"/>
        <w:gridCol w:w="1740"/>
        <w:gridCol w:w="1530"/>
        <w:gridCol w:w="1674"/>
        <w:gridCol w:w="2646"/>
        <w:gridCol w:w="1665"/>
        <w:gridCol w:w="1260"/>
        <w:gridCol w:w="1065"/>
        <w:gridCol w:w="1515"/>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67"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067"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专项资金分配情况表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专项资金名称</w:t>
            </w:r>
          </w:p>
        </w:tc>
        <w:tc>
          <w:tcPr>
            <w:tcW w:w="174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预算部门（单位）编码</w:t>
            </w:r>
          </w:p>
        </w:tc>
        <w:tc>
          <w:tcPr>
            <w:tcW w:w="153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预算部门（单位）名称</w:t>
            </w:r>
          </w:p>
        </w:tc>
        <w:tc>
          <w:tcPr>
            <w:tcW w:w="1674"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2646"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1665"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c>
          <w:tcPr>
            <w:tcW w:w="126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本级</w:t>
            </w:r>
          </w:p>
        </w:tc>
        <w:tc>
          <w:tcPr>
            <w:tcW w:w="1065"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本级待分</w:t>
            </w:r>
          </w:p>
        </w:tc>
        <w:tc>
          <w:tcPr>
            <w:tcW w:w="1515"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下级</w:t>
            </w:r>
          </w:p>
        </w:tc>
        <w:tc>
          <w:tcPr>
            <w:tcW w:w="1321"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下级待分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科技馆免费开放补助资金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152522000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阿巴嘎旗</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2024科技馆免费开放补助资金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160,000.00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152523000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苏尼特左旗</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2024科技馆免费开放补助资金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152525000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东乌珠穆沁旗</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2024科技馆免费开放补助资金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250,000.00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152529000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正镶白旗</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2024科技馆免费开放补助资金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140,000.00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152530000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正蓝旗</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2024科技馆免费开放补助资金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190,000.00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190,000.00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基层科普行动资金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152502000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锡林浩特市</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2024年基层科普行动计划项目</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152522000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阿巴嘎旗</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2024年基层科普行动计划项目</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152524000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苏尼特右旗</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2024年基层科普行动计划项目</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400,000.00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400,000.00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152525000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东乌珠穆沁旗</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2024年基层科普行动计划项目</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152526000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西乌珠穆沁旗</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2024年基层科普行动计划项目</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152529000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正镶白旗</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2024年基层科普行动计划项目</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1,050,000.00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1,050,000.00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620,000.00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620,000.00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3,270,000.00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620,000.00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2,650,000.00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2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1"/>
        <w:gridCol w:w="1171"/>
        <w:gridCol w:w="1171"/>
        <w:gridCol w:w="1366"/>
        <w:gridCol w:w="4482"/>
        <w:gridCol w:w="855"/>
        <w:gridCol w:w="1125"/>
        <w:gridCol w:w="1785"/>
        <w:gridCol w:w="615"/>
        <w:gridCol w:w="585"/>
        <w:gridCol w:w="660"/>
        <w:gridCol w:w="55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276"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76"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117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项目单位</w:t>
            </w:r>
          </w:p>
        </w:tc>
        <w:tc>
          <w:tcPr>
            <w:tcW w:w="117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项目类别</w:t>
            </w:r>
          </w:p>
        </w:tc>
        <w:tc>
          <w:tcPr>
            <w:tcW w:w="1366"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c>
          <w:tcPr>
            <w:tcW w:w="4482"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年度绩效目标</w:t>
            </w:r>
          </w:p>
        </w:tc>
        <w:tc>
          <w:tcPr>
            <w:tcW w:w="85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二级指标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三级指标</w:t>
            </w:r>
          </w:p>
        </w:tc>
        <w:tc>
          <w:tcPr>
            <w:tcW w:w="61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指标性质</w:t>
            </w:r>
          </w:p>
        </w:tc>
        <w:tc>
          <w:tcPr>
            <w:tcW w:w="58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指标方向</w:t>
            </w:r>
          </w:p>
        </w:tc>
        <w:tc>
          <w:tcPr>
            <w:tcW w:w="66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目标值</w:t>
            </w:r>
          </w:p>
        </w:tc>
        <w:tc>
          <w:tcPr>
            <w:tcW w:w="55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计量单位</w:t>
            </w:r>
          </w:p>
        </w:tc>
        <w:tc>
          <w:tcPr>
            <w:tcW w:w="73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269,140.02</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足额保障率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结余率=结余数/预算数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325,562.77</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足额保障率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结余率=结余数/预算数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1,787,898.11</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结余率=结余数/预算数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足额保障率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退休保险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118,533.64</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足额保障率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退休保险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退休保险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退休保险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结余率=结余数/预算数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离退休费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足额保障率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离退休费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离退休费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结余率=结余数/预算数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离退休费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39,000.00</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三公经费控制率=（实际支出数/预算安排数）x100%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预算编制质量=（执行数-预算数）/预算数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运转保障率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198,596.30</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三公经费控制率=（实际支出数/预算安排数）x100%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预算编制质量=（执行数-预算数）/预算数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运转保障率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65,000.00</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预算编制质量=（执行数-预算数）/预算数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三公经费控制率=（实际支出数/预算安排数）x100%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运转保障率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5,400.00</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三公经费控制率=（实际支出数/预算安排数）x100%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预算编制质量=（执行数-预算数）/预算数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运转保障率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180,000.00</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召开锡林郭勒盟科学技术协会第八届委员会第二次会议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科技三下乡科技周及科普活动日等科普活动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补助旗县开展科普活动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举办全盟公民科学素质知识竞赛</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支持学会协会开展学术交流及科技工作者日活动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青少年科技创新大赛</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全民科学素质逐年提高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受益人群的满意度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年底完成所有绩效目标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完成项目目标所需周期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本级全年内开展科普活动所需费用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全盟公民科学素质知识竞赛</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支持学会协会开展学术交流活动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第八届委员会第二次会议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青少年科技创新大赛</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补助基层科协提升基层组织建设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社会效益</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提升科学素质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可持续影响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科普网站访问置增长率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服务对象满意度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科普受益人群的满意度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620,000.00</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自治区基层科普行动计划项目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中央基层科普行动计划项目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服务对象满意度指标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科普受众人群满意度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可持续影响指标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逐步提升全盟公民科学素质水平</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社会效益指标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百名专家走进盟市旗县科普传播行活动受益人次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万人次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科普阵地资源类建设提升力度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科普活动和队伍建设逐年提高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完成该项目所需时间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流动科普设施资助项目所需资金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提升重点人群科学素质项目所需资金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科技助力乡村振兴项目所需资金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科普队伍建设支持项目所需资金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科普工作培训交流项目所需资金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118,954.22</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足额保障率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8"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结余率=结余数/预算数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138,323.69</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足额保障率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3"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结余率=结余数/预算数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738,561.28</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足额保障率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8"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结余率=结余数/预算数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8,000.00</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预算编制质量=（执行数-预算数）/预算数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8"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运转保障率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三公经费控制率=（实际支出数/预算安排数）x100%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15,400.00</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运转保障率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8"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三公经费控制率=（实际支出数/预算安排数）x100%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预算编制质量=（执行数-预算数）/预算数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28,083.54</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运转保障率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三公经费控制率=（实际支出数/预算安排数）x100%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预算编制质量=（执行数-预算数）/预算数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1,800.00</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预算编制质量=（执行数-预算数）/预算数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运转保障率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506002-锡林郭勒盟科技教育和创新服务中心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三公经费控制率=（实际支出数/预算安排数）x100%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4,822,925.97</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r>
    </w:tbl>
    <w:p>
      <w:pPr>
        <w:pStyle w:val="2"/>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9"/>
        <w:gridCol w:w="4189"/>
        <w:gridCol w:w="2265"/>
        <w:gridCol w:w="3238"/>
        <w:gridCol w:w="2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175"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17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非税征收预期表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8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部门（单位）代码</w:t>
            </w:r>
          </w:p>
        </w:tc>
        <w:tc>
          <w:tcPr>
            <w:tcW w:w="418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部门（单位）名称</w:t>
            </w:r>
          </w:p>
        </w:tc>
        <w:tc>
          <w:tcPr>
            <w:tcW w:w="226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收费项目</w:t>
            </w:r>
          </w:p>
        </w:tc>
        <w:tc>
          <w:tcPr>
            <w:tcW w:w="3238"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收入分类科目</w:t>
            </w:r>
          </w:p>
        </w:tc>
        <w:tc>
          <w:tcPr>
            <w:tcW w:w="229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418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418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26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3238"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294"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418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注：本单位无非税征收。</w:t>
            </w:r>
          </w:p>
        </w:tc>
        <w:tc>
          <w:tcPr>
            <w:tcW w:w="418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26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3238"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294"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08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4"/>
        <w:gridCol w:w="1114"/>
        <w:gridCol w:w="665"/>
        <w:gridCol w:w="665"/>
        <w:gridCol w:w="665"/>
        <w:gridCol w:w="440"/>
        <w:gridCol w:w="665"/>
        <w:gridCol w:w="777"/>
        <w:gridCol w:w="796"/>
        <w:gridCol w:w="1005"/>
        <w:gridCol w:w="990"/>
        <w:gridCol w:w="975"/>
        <w:gridCol w:w="1230"/>
        <w:gridCol w:w="1050"/>
        <w:gridCol w:w="930"/>
        <w:gridCol w:w="855"/>
        <w:gridCol w:w="108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81" w:type="dxa"/>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081"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新增资产配置预算表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部门（单位）代码</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部门（单位）名称</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资产分类</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资产名称</w:t>
            </w:r>
          </w:p>
        </w:tc>
        <w:tc>
          <w:tcPr>
            <w:tcW w:w="1882"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申报购置情况</w:t>
            </w:r>
          </w:p>
        </w:tc>
        <w:tc>
          <w:tcPr>
            <w:tcW w:w="9976" w:type="dxa"/>
            <w:gridSpan w:val="10"/>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数量</w:t>
            </w:r>
          </w:p>
        </w:tc>
        <w:tc>
          <w:tcPr>
            <w:tcW w:w="66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单价(元)</w:t>
            </w:r>
          </w:p>
        </w:tc>
        <w:tc>
          <w:tcPr>
            <w:tcW w:w="777"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金额（元）</w:t>
            </w:r>
          </w:p>
        </w:tc>
        <w:tc>
          <w:tcPr>
            <w:tcW w:w="796"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99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97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123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事业收入</w:t>
            </w:r>
          </w:p>
        </w:tc>
        <w:tc>
          <w:tcPr>
            <w:tcW w:w="93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事业单位经营收入</w:t>
            </w:r>
          </w:p>
        </w:tc>
        <w:tc>
          <w:tcPr>
            <w:tcW w:w="85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附属单位上缴收入</w:t>
            </w:r>
          </w:p>
        </w:tc>
        <w:tc>
          <w:tcPr>
            <w:tcW w:w="106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114"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114"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6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6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6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44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6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796"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9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3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5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3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5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8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6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4223" w:type="dxa"/>
            <w:gridSpan w:val="5"/>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注：本单位无新增资产。</w:t>
            </w:r>
          </w:p>
        </w:tc>
        <w:tc>
          <w:tcPr>
            <w:tcW w:w="44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6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796"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9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3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5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3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5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8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6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bl>
    <w:p>
      <w:pPr>
        <w:pStyle w:val="2"/>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1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1112"/>
        <w:gridCol w:w="1070"/>
        <w:gridCol w:w="826"/>
        <w:gridCol w:w="704"/>
        <w:gridCol w:w="625"/>
        <w:gridCol w:w="856"/>
        <w:gridCol w:w="840"/>
        <w:gridCol w:w="1350"/>
        <w:gridCol w:w="1395"/>
        <w:gridCol w:w="570"/>
        <w:gridCol w:w="600"/>
        <w:gridCol w:w="795"/>
        <w:gridCol w:w="615"/>
        <w:gridCol w:w="855"/>
        <w:gridCol w:w="1020"/>
        <w:gridCol w:w="9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126" w:type="dxa"/>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126"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部门（单位）代码</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部门（单位）名称</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采购品目</w:t>
            </w:r>
          </w:p>
        </w:tc>
        <w:tc>
          <w:tcPr>
            <w:tcW w:w="2321"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申报情况</w:t>
            </w:r>
          </w:p>
        </w:tc>
        <w:tc>
          <w:tcPr>
            <w:tcW w:w="9060" w:type="dxa"/>
            <w:gridSpan w:val="10"/>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申请数量</w:t>
            </w:r>
          </w:p>
        </w:tc>
        <w:tc>
          <w:tcPr>
            <w:tcW w:w="856"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单价(元)</w:t>
            </w:r>
          </w:p>
        </w:tc>
        <w:tc>
          <w:tcPr>
            <w:tcW w:w="84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金额(元)</w:t>
            </w:r>
          </w:p>
        </w:tc>
        <w:tc>
          <w:tcPr>
            <w:tcW w:w="135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39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57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60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79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61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事业收入</w:t>
            </w:r>
          </w:p>
        </w:tc>
        <w:tc>
          <w:tcPr>
            <w:tcW w:w="85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事业单位经营收入</w:t>
            </w:r>
          </w:p>
        </w:tc>
        <w:tc>
          <w:tcPr>
            <w:tcW w:w="102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上级补助收入</w:t>
            </w:r>
          </w:p>
        </w:tc>
        <w:tc>
          <w:tcPr>
            <w:tcW w:w="93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附属单位上缴收入</w:t>
            </w:r>
          </w:p>
        </w:tc>
        <w:tc>
          <w:tcPr>
            <w:tcW w:w="93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152500245062110000017</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财产保险服务</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10,000.00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10,000.00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59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2"/>
        <w:gridCol w:w="993"/>
        <w:gridCol w:w="605"/>
        <w:gridCol w:w="605"/>
        <w:gridCol w:w="605"/>
        <w:gridCol w:w="605"/>
        <w:gridCol w:w="605"/>
        <w:gridCol w:w="605"/>
        <w:gridCol w:w="605"/>
        <w:gridCol w:w="800"/>
        <w:gridCol w:w="410"/>
        <w:gridCol w:w="799"/>
        <w:gridCol w:w="897"/>
        <w:gridCol w:w="993"/>
        <w:gridCol w:w="993"/>
        <w:gridCol w:w="605"/>
        <w:gridCol w:w="993"/>
        <w:gridCol w:w="1001"/>
        <w:gridCol w:w="99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916" w:type="dxa"/>
            <w:gridSpan w:val="2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916" w:type="dxa"/>
            <w:gridSpan w:val="2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政府购买服务预算表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部门（单位）代码</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部门（单位）名称</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指导性目录</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申报情况</w:t>
            </w:r>
          </w:p>
        </w:tc>
        <w:tc>
          <w:tcPr>
            <w:tcW w:w="8896" w:type="dxa"/>
            <w:gridSpan w:val="10"/>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一级目录</w:t>
            </w:r>
          </w:p>
        </w:tc>
        <w:tc>
          <w:tcPr>
            <w:tcW w:w="60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二级目录</w:t>
            </w:r>
          </w:p>
        </w:tc>
        <w:tc>
          <w:tcPr>
            <w:tcW w:w="60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三级目录</w:t>
            </w:r>
          </w:p>
        </w:tc>
        <w:tc>
          <w:tcPr>
            <w:tcW w:w="60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购买内容</w:t>
            </w:r>
          </w:p>
        </w:tc>
        <w:tc>
          <w:tcPr>
            <w:tcW w:w="60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购买数量</w:t>
            </w:r>
          </w:p>
        </w:tc>
        <w:tc>
          <w:tcPr>
            <w:tcW w:w="80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购买金额(元)</w:t>
            </w:r>
          </w:p>
        </w:tc>
        <w:tc>
          <w:tcPr>
            <w:tcW w:w="41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79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897"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993"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993"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60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事业收入</w:t>
            </w:r>
          </w:p>
        </w:tc>
        <w:tc>
          <w:tcPr>
            <w:tcW w:w="993"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事业单位经营收入</w:t>
            </w:r>
          </w:p>
        </w:tc>
        <w:tc>
          <w:tcPr>
            <w:tcW w:w="100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上级补助收入</w:t>
            </w:r>
          </w:p>
        </w:tc>
        <w:tc>
          <w:tcPr>
            <w:tcW w:w="99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附属单位上缴收入</w:t>
            </w:r>
          </w:p>
        </w:tc>
        <w:tc>
          <w:tcPr>
            <w:tcW w:w="121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92"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9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0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79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9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9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9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9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0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9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1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4405" w:type="dxa"/>
            <w:gridSpan w:val="6"/>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注：本单位无政府购买服务。</w:t>
            </w:r>
          </w:p>
        </w:tc>
        <w:tc>
          <w:tcPr>
            <w:tcW w:w="6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0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79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9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9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9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9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0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9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1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bl>
    <w:p>
      <w:pPr>
        <w:pStyle w:val="2"/>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596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7"/>
        <w:gridCol w:w="2250"/>
        <w:gridCol w:w="1073"/>
        <w:gridCol w:w="1074"/>
        <w:gridCol w:w="1489"/>
        <w:gridCol w:w="1074"/>
        <w:gridCol w:w="1329"/>
        <w:gridCol w:w="1074"/>
        <w:gridCol w:w="1074"/>
        <w:gridCol w:w="1337"/>
        <w:gridCol w:w="129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8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表20</w:t>
            </w:r>
          </w:p>
        </w:tc>
        <w:tc>
          <w:tcPr>
            <w:tcW w:w="2250"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073"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074"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489"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074"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329"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074"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074"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337"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290"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410"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61"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87"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部门（单位）代码</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部门（单位）名称</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单位类型</w:t>
            </w:r>
          </w:p>
        </w:tc>
        <w:tc>
          <w:tcPr>
            <w:tcW w:w="4966" w:type="dxa"/>
            <w:gridSpan w:val="4"/>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编制数</w:t>
            </w:r>
          </w:p>
        </w:tc>
        <w:tc>
          <w:tcPr>
            <w:tcW w:w="6185" w:type="dxa"/>
            <w:gridSpan w:val="5"/>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实有人数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合计</w:t>
            </w:r>
          </w:p>
        </w:tc>
        <w:tc>
          <w:tcPr>
            <w:tcW w:w="148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行政(政法)编制数</w:t>
            </w:r>
          </w:p>
        </w:tc>
        <w:tc>
          <w:tcPr>
            <w:tcW w:w="107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事业编制数</w:t>
            </w:r>
          </w:p>
        </w:tc>
        <w:tc>
          <w:tcPr>
            <w:tcW w:w="132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工勤人员编制数</w:t>
            </w:r>
          </w:p>
        </w:tc>
        <w:tc>
          <w:tcPr>
            <w:tcW w:w="107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合计</w:t>
            </w:r>
          </w:p>
        </w:tc>
        <w:tc>
          <w:tcPr>
            <w:tcW w:w="107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在职人员</w:t>
            </w:r>
          </w:p>
        </w:tc>
        <w:tc>
          <w:tcPr>
            <w:tcW w:w="1337"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离休人员</w:t>
            </w:r>
          </w:p>
        </w:tc>
        <w:tc>
          <w:tcPr>
            <w:tcW w:w="129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退休人员</w:t>
            </w:r>
          </w:p>
        </w:tc>
        <w:tc>
          <w:tcPr>
            <w:tcW w:w="141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长聘人员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锡林郭勒盟科技教育和创新服务中心</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公益一类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37</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bl>
    <w:p>
      <w:pPr>
        <w:rPr>
          <w:rFonts w:hint="eastAsia" w:ascii="方正仿宋_GB2312" w:hAnsi="方正仿宋_GB2312" w:eastAsia="方正仿宋_GB2312" w:cs="方正仿宋_GB2312"/>
          <w:sz w:val="20"/>
          <w:szCs w:val="20"/>
        </w:rPr>
      </w:pPr>
    </w:p>
    <w:sectPr>
      <w:pgSz w:w="16840" w:h="11910" w:orient="landscape"/>
      <w:pgMar w:top="1080" w:right="1580" w:bottom="1080" w:left="2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3E8F69D-5598-4B4C-9759-24FBBB37D918}"/>
  </w:font>
  <w:font w:name="黑体">
    <w:panose1 w:val="02010609060101010101"/>
    <w:charset w:val="86"/>
    <w:family w:val="auto"/>
    <w:pitch w:val="default"/>
    <w:sig w:usb0="800002BF" w:usb1="38CF7CFA" w:usb2="00000016" w:usb3="00000000" w:csb0="00040001" w:csb1="00000000"/>
    <w:embedRegular r:id="rId2" w:fontKey="{B0231BDC-E89D-4E86-A8BA-D17B826C46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8EB45BAD-DCAE-4D11-9B3E-4569D183F573}"/>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4" w:fontKey="{85830570-98B5-40CA-961A-BA93D76C4C8C}"/>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embedRegular r:id="rId5" w:fontKey="{95E1743E-127E-4608-9009-AD36DD79F276}"/>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6" w:fontKey="{AF02ED6A-37B8-47A1-9B39-CAADFDD70D2A}"/>
  </w:font>
  <w:font w:name="方正仿宋_GB2312">
    <w:panose1 w:val="02000000000000000000"/>
    <w:charset w:val="86"/>
    <w:family w:val="auto"/>
    <w:pitch w:val="default"/>
    <w:sig w:usb0="A00002BF" w:usb1="184F6CFA" w:usb2="00000012" w:usb3="00000000" w:csb0="00040001" w:csb1="00000000"/>
    <w:embedRegular r:id="rId7" w:fontKey="{AAE313FC-535B-4077-8D27-CFDC9CFB6DB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EEB11"/>
    <w:multiLevelType w:val="singleLevel"/>
    <w:tmpl w:val="E1DEEB11"/>
    <w:lvl w:ilvl="0" w:tentative="0">
      <w:start w:val="2"/>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abstractNum w:abstractNumId="2">
    <w:nsid w:val="4EC74364"/>
    <w:multiLevelType w:val="singleLevel"/>
    <w:tmpl w:val="4EC743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MzE3ODk2ZDM3M2JjYWMxMmQ1YmMyZTBkN2IwNDk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01FE2"/>
    <w:rsid w:val="05F92C68"/>
    <w:rsid w:val="06571B7A"/>
    <w:rsid w:val="066F6E3E"/>
    <w:rsid w:val="077111CE"/>
    <w:rsid w:val="0772575A"/>
    <w:rsid w:val="07DA3A8F"/>
    <w:rsid w:val="089D7C92"/>
    <w:rsid w:val="0966246F"/>
    <w:rsid w:val="09C92DD3"/>
    <w:rsid w:val="09CF6E4B"/>
    <w:rsid w:val="0B6B045B"/>
    <w:rsid w:val="0B9C16F9"/>
    <w:rsid w:val="0BD554C2"/>
    <w:rsid w:val="0E7B4525"/>
    <w:rsid w:val="10767327"/>
    <w:rsid w:val="11304CEB"/>
    <w:rsid w:val="11AF4DCB"/>
    <w:rsid w:val="12955111"/>
    <w:rsid w:val="12CC6E6D"/>
    <w:rsid w:val="13806E42"/>
    <w:rsid w:val="13A607E7"/>
    <w:rsid w:val="140E7482"/>
    <w:rsid w:val="1440520B"/>
    <w:rsid w:val="14737EE6"/>
    <w:rsid w:val="17BC5001"/>
    <w:rsid w:val="17BE5353"/>
    <w:rsid w:val="17FFB2AC"/>
    <w:rsid w:val="183A0A1F"/>
    <w:rsid w:val="198C1D89"/>
    <w:rsid w:val="1B74013C"/>
    <w:rsid w:val="1CC86854"/>
    <w:rsid w:val="1CFA34AD"/>
    <w:rsid w:val="1E0D2BED"/>
    <w:rsid w:val="1E591AD6"/>
    <w:rsid w:val="1F14499E"/>
    <w:rsid w:val="1F5B26C7"/>
    <w:rsid w:val="1FF77E5D"/>
    <w:rsid w:val="203A4DF7"/>
    <w:rsid w:val="224109E7"/>
    <w:rsid w:val="22A144DF"/>
    <w:rsid w:val="22EB689E"/>
    <w:rsid w:val="2472310C"/>
    <w:rsid w:val="249C2E00"/>
    <w:rsid w:val="26CE5027"/>
    <w:rsid w:val="27F62AEE"/>
    <w:rsid w:val="2866365B"/>
    <w:rsid w:val="29A66A18"/>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550E0C"/>
    <w:rsid w:val="38F2725A"/>
    <w:rsid w:val="3941563D"/>
    <w:rsid w:val="39C037CE"/>
    <w:rsid w:val="3A86167D"/>
    <w:rsid w:val="3AE332B3"/>
    <w:rsid w:val="3C8C247C"/>
    <w:rsid w:val="3D5BC691"/>
    <w:rsid w:val="3D65545B"/>
    <w:rsid w:val="3E7C6D69"/>
    <w:rsid w:val="3FA119B7"/>
    <w:rsid w:val="3FF9B2BD"/>
    <w:rsid w:val="40177DE3"/>
    <w:rsid w:val="40976810"/>
    <w:rsid w:val="417A1877"/>
    <w:rsid w:val="419407FF"/>
    <w:rsid w:val="422711D3"/>
    <w:rsid w:val="42FC147E"/>
    <w:rsid w:val="432253DD"/>
    <w:rsid w:val="43501007"/>
    <w:rsid w:val="43863DDA"/>
    <w:rsid w:val="444939F2"/>
    <w:rsid w:val="45551365"/>
    <w:rsid w:val="45C143AB"/>
    <w:rsid w:val="472B4E15"/>
    <w:rsid w:val="476F66C2"/>
    <w:rsid w:val="482809DA"/>
    <w:rsid w:val="4A0B7731"/>
    <w:rsid w:val="4A3A7537"/>
    <w:rsid w:val="4A5A0CDA"/>
    <w:rsid w:val="4A9A751F"/>
    <w:rsid w:val="4AB8212E"/>
    <w:rsid w:val="4AE10089"/>
    <w:rsid w:val="4B177614"/>
    <w:rsid w:val="4B3A3DE4"/>
    <w:rsid w:val="4B77032C"/>
    <w:rsid w:val="4B852596"/>
    <w:rsid w:val="4BCA4DC2"/>
    <w:rsid w:val="4CC43F74"/>
    <w:rsid w:val="4D3806BD"/>
    <w:rsid w:val="4FA56487"/>
    <w:rsid w:val="4FC44EDC"/>
    <w:rsid w:val="4FD7309C"/>
    <w:rsid w:val="50997532"/>
    <w:rsid w:val="51296E07"/>
    <w:rsid w:val="52C12FB4"/>
    <w:rsid w:val="53097B05"/>
    <w:rsid w:val="535B5D4C"/>
    <w:rsid w:val="53866EE0"/>
    <w:rsid w:val="538F587F"/>
    <w:rsid w:val="544E2FF3"/>
    <w:rsid w:val="551E7F0E"/>
    <w:rsid w:val="55B95F2B"/>
    <w:rsid w:val="55D63612"/>
    <w:rsid w:val="55D9538F"/>
    <w:rsid w:val="56B137E7"/>
    <w:rsid w:val="577BFFB7"/>
    <w:rsid w:val="57CA68AA"/>
    <w:rsid w:val="59654F1B"/>
    <w:rsid w:val="59CFA913"/>
    <w:rsid w:val="5A650D5A"/>
    <w:rsid w:val="5A8E6B50"/>
    <w:rsid w:val="5B526E3B"/>
    <w:rsid w:val="5C6269E2"/>
    <w:rsid w:val="5CFD1C22"/>
    <w:rsid w:val="5D176670"/>
    <w:rsid w:val="5DFFB5FC"/>
    <w:rsid w:val="5EFB5FCF"/>
    <w:rsid w:val="600D3B89"/>
    <w:rsid w:val="60976762"/>
    <w:rsid w:val="615674ED"/>
    <w:rsid w:val="61744EA1"/>
    <w:rsid w:val="637048DB"/>
    <w:rsid w:val="64AA146F"/>
    <w:rsid w:val="65062D4A"/>
    <w:rsid w:val="65335497"/>
    <w:rsid w:val="65BE3210"/>
    <w:rsid w:val="65D76172"/>
    <w:rsid w:val="66B39ED2"/>
    <w:rsid w:val="66C77325"/>
    <w:rsid w:val="68931D4F"/>
    <w:rsid w:val="68C6406F"/>
    <w:rsid w:val="6A1638AD"/>
    <w:rsid w:val="6ACF3D38"/>
    <w:rsid w:val="6B4551DF"/>
    <w:rsid w:val="6B9E2823"/>
    <w:rsid w:val="6C7B77BD"/>
    <w:rsid w:val="6C992C34"/>
    <w:rsid w:val="6CA95923"/>
    <w:rsid w:val="6D4243EB"/>
    <w:rsid w:val="6D6C604D"/>
    <w:rsid w:val="6D756958"/>
    <w:rsid w:val="706456CA"/>
    <w:rsid w:val="718B3849"/>
    <w:rsid w:val="73656E86"/>
    <w:rsid w:val="7377015A"/>
    <w:rsid w:val="739D2BFF"/>
    <w:rsid w:val="746861C6"/>
    <w:rsid w:val="75A01A91"/>
    <w:rsid w:val="75A62E64"/>
    <w:rsid w:val="75BB53FD"/>
    <w:rsid w:val="75E96582"/>
    <w:rsid w:val="75EF158C"/>
    <w:rsid w:val="761146D7"/>
    <w:rsid w:val="76470CAA"/>
    <w:rsid w:val="764D1082"/>
    <w:rsid w:val="766F2799"/>
    <w:rsid w:val="773B6256"/>
    <w:rsid w:val="77CF1A71"/>
    <w:rsid w:val="77E5E2F5"/>
    <w:rsid w:val="7BBFACA7"/>
    <w:rsid w:val="7BF3685D"/>
    <w:rsid w:val="7C7F6428"/>
    <w:rsid w:val="7D07233B"/>
    <w:rsid w:val="7D40391F"/>
    <w:rsid w:val="7DCE8D1D"/>
    <w:rsid w:val="7DF96BCA"/>
    <w:rsid w:val="7DFDB36B"/>
    <w:rsid w:val="7E1251F4"/>
    <w:rsid w:val="7E6416AA"/>
    <w:rsid w:val="7EAFBDC1"/>
    <w:rsid w:val="7EE66F59"/>
    <w:rsid w:val="7F1A6E76"/>
    <w:rsid w:val="7F1F783D"/>
    <w:rsid w:val="7F6FCBF3"/>
    <w:rsid w:val="7FAF396D"/>
    <w:rsid w:val="7FEEF122"/>
    <w:rsid w:val="AAC11D00"/>
    <w:rsid w:val="AFFBE523"/>
    <w:rsid w:val="DFA7EBDF"/>
    <w:rsid w:val="DFB7DD4C"/>
    <w:rsid w:val="E46DF715"/>
    <w:rsid w:val="EBBBE663"/>
    <w:rsid w:val="EEA30BFC"/>
    <w:rsid w:val="EFFE2BB2"/>
    <w:rsid w:val="F5D5012D"/>
    <w:rsid w:val="F7DF5671"/>
    <w:rsid w:val="F9CC5E8D"/>
    <w:rsid w:val="FB5F23EA"/>
    <w:rsid w:val="FB6D87DB"/>
    <w:rsid w:val="FBBB61F5"/>
    <w:rsid w:val="FD7FC7C0"/>
    <w:rsid w:val="FF765174"/>
    <w:rsid w:val="FF7B5040"/>
    <w:rsid w:val="FFDB00C3"/>
    <w:rsid w:val="FFF71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autoRedefine/>
    <w:qFormat/>
    <w:uiPriority w:val="1"/>
    <w:pPr>
      <w:keepNext/>
      <w:keepLines/>
      <w:spacing w:before="340" w:after="330" w:line="576" w:lineRule="auto"/>
      <w:outlineLvl w:val="0"/>
    </w:pPr>
    <w:rPr>
      <w:b/>
      <w:kern w:val="44"/>
      <w:sz w:val="44"/>
    </w:rPr>
  </w:style>
  <w:style w:type="paragraph" w:styleId="5">
    <w:name w:val="heading 2"/>
    <w:basedOn w:val="1"/>
    <w:next w:val="1"/>
    <w:link w:val="30"/>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autoRedefine/>
    <w:unhideWhenUsed/>
    <w:qFormat/>
    <w:uiPriority w:val="1"/>
    <w:pPr>
      <w:keepNext/>
      <w:keepLines/>
      <w:spacing w:before="260" w:after="260" w:line="413" w:lineRule="auto"/>
      <w:outlineLvl w:val="2"/>
    </w:pPr>
    <w:rPr>
      <w:b/>
      <w:sz w:val="32"/>
    </w:rPr>
  </w:style>
  <w:style w:type="paragraph" w:styleId="7">
    <w:name w:val="heading 4"/>
    <w:basedOn w:val="1"/>
    <w:next w:val="1"/>
    <w:link w:val="35"/>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autoRedefine/>
    <w:unhideWhenUsed/>
    <w:qFormat/>
    <w:uiPriority w:val="1"/>
    <w:pPr>
      <w:keepNext/>
      <w:keepLines/>
      <w:spacing w:before="280" w:after="290" w:line="376" w:lineRule="auto"/>
      <w:outlineLvl w:val="4"/>
    </w:pPr>
    <w:rPr>
      <w:b/>
      <w:bCs/>
      <w:sz w:val="28"/>
      <w:szCs w:val="28"/>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2"/>
    <w:autoRedefine/>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autoRedefine/>
    <w:unhideWhenUsed/>
    <w:qFormat/>
    <w:uiPriority w:val="1"/>
    <w:pPr>
      <w:spacing w:after="120"/>
    </w:pPr>
  </w:style>
  <w:style w:type="paragraph" w:styleId="11">
    <w:name w:val="annotation text"/>
    <w:basedOn w:val="1"/>
    <w:link w:val="26"/>
    <w:autoRedefine/>
    <w:unhideWhenUsed/>
    <w:qFormat/>
    <w:uiPriority w:val="99"/>
    <w:pPr>
      <w:jc w:val="left"/>
    </w:pPr>
  </w:style>
  <w:style w:type="paragraph" w:styleId="12">
    <w:name w:val="Balloon Text"/>
    <w:basedOn w:val="1"/>
    <w:link w:val="36"/>
    <w:autoRedefine/>
    <w:unhideWhenUsed/>
    <w:qFormat/>
    <w:uiPriority w:val="99"/>
    <w:rPr>
      <w:sz w:val="18"/>
      <w:szCs w:val="18"/>
    </w:rPr>
  </w:style>
  <w:style w:type="paragraph" w:styleId="13">
    <w:name w:val="footer"/>
    <w:basedOn w:val="1"/>
    <w:link w:val="2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1"/>
    <w:autoRedefine/>
    <w:unhideWhenUsed/>
    <w:qFormat/>
    <w:uiPriority w:val="99"/>
    <w:rPr>
      <w:sz w:val="21"/>
      <w:szCs w:val="21"/>
    </w:rPr>
  </w:style>
  <w:style w:type="character" w:customStyle="1" w:styleId="24">
    <w:name w:val="页眉 Char"/>
    <w:basedOn w:val="21"/>
    <w:link w:val="14"/>
    <w:autoRedefine/>
    <w:qFormat/>
    <w:uiPriority w:val="99"/>
    <w:rPr>
      <w:sz w:val="18"/>
      <w:szCs w:val="18"/>
    </w:rPr>
  </w:style>
  <w:style w:type="character" w:customStyle="1" w:styleId="25">
    <w:name w:val="页脚 Char"/>
    <w:basedOn w:val="21"/>
    <w:link w:val="13"/>
    <w:autoRedefine/>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autoRedefine/>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autoRedefine/>
    <w:qFormat/>
    <w:uiPriority w:val="11"/>
    <w:rPr>
      <w:b/>
      <w:bCs/>
      <w:kern w:val="28"/>
      <w:sz w:val="32"/>
      <w:szCs w:val="32"/>
    </w:rPr>
  </w:style>
  <w:style w:type="character" w:customStyle="1" w:styleId="30">
    <w:name w:val="标题 2 Char"/>
    <w:basedOn w:val="21"/>
    <w:link w:val="5"/>
    <w:autoRedefine/>
    <w:qFormat/>
    <w:uiPriority w:val="9"/>
    <w:rPr>
      <w:rFonts w:ascii="Arial" w:hAnsi="Arial" w:eastAsia="Symbol" w:cs="Times New Roman"/>
      <w:b/>
      <w:bCs/>
      <w:sz w:val="32"/>
      <w:szCs w:val="32"/>
    </w:rPr>
  </w:style>
  <w:style w:type="paragraph" w:customStyle="1" w:styleId="31">
    <w:name w:val="表格名称"/>
    <w:basedOn w:val="1"/>
    <w:autoRedefine/>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autoRedefine/>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autoRedefine/>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收入预算图</a:t>
            </a:r>
          </a:p>
        </c:rich>
      </c:tx>
      <c:layout/>
      <c:overlay val="0"/>
      <c:spPr>
        <a:noFill/>
        <a:ln>
          <a:noFill/>
        </a:ln>
        <a:effectLst/>
      </c:spPr>
    </c:title>
    <c:autoTitleDeleted val="0"/>
    <c:plotArea>
      <c:layout/>
      <c:pieChart>
        <c:varyColors val="1"/>
        <c:ser>
          <c:idx val="0"/>
          <c:order val="0"/>
          <c:spPr/>
          <c:explosion val="3"/>
          <c:dPt>
            <c:idx val="0"/>
            <c:bubble3D val="0"/>
            <c:spPr>
              <a:solidFill>
                <a:schemeClr val="accent2"/>
              </a:solidFill>
              <a:ln>
                <a:solidFill>
                  <a:schemeClr val="bg1"/>
                </a:solidFill>
              </a:ln>
              <a:effectLst/>
            </c:spPr>
          </c:dPt>
          <c:dPt>
            <c:idx val="1"/>
            <c:bubble3D val="0"/>
            <c:spPr>
              <a:solidFill>
                <a:schemeClr val="accent4"/>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[工作簿1]Sheet1!$A$1:$A$2</c:f>
              <c:strCache>
                <c:ptCount val="2"/>
                <c:pt idx="0">
                  <c:v>一般公共预算收入</c:v>
                </c:pt>
                <c:pt idx="1">
                  <c:v>上年结转结余的一般公共预算收入</c:v>
                </c:pt>
              </c:strCache>
            </c:strRef>
          </c:cat>
          <c:val>
            <c:numRef>
              <c:f>[工作簿1]Sheet1!$B$1:$B$2</c:f>
              <c:numCache>
                <c:formatCode>0.00%</c:formatCode>
                <c:ptCount val="2"/>
                <c:pt idx="0">
                  <c:v>0.9703</c:v>
                </c:pt>
                <c:pt idx="1">
                  <c:v>0.0297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支出预算图</a:t>
            </a:r>
          </a:p>
        </c:rich>
      </c:tx>
      <c:layout/>
      <c:overlay val="0"/>
      <c:spPr>
        <a:noFill/>
        <a:ln>
          <a:noFill/>
        </a:ln>
        <a:effectLst/>
      </c:spPr>
    </c:title>
    <c:autoTitleDeleted val="0"/>
    <c:plotArea>
      <c:layout/>
      <c:pieChart>
        <c:varyColors val="1"/>
        <c:ser>
          <c:idx val="0"/>
          <c:order val="0"/>
          <c:spPr/>
          <c:explosion val="3"/>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[工作簿1]Sheet2!$A$1:$A$2</c:f>
              <c:strCache>
                <c:ptCount val="2"/>
                <c:pt idx="0">
                  <c:v>基本支出</c:v>
                </c:pt>
                <c:pt idx="1">
                  <c:v>项目支出</c:v>
                </c:pt>
              </c:strCache>
            </c:strRef>
          </c:cat>
          <c:val>
            <c:numRef>
              <c:f>[工作簿1]Sheet2!$B$1:$B$2</c:f>
              <c:numCache>
                <c:formatCode>0.00%</c:formatCode>
                <c:ptCount val="2"/>
                <c:pt idx="0">
                  <c:v>0.8094</c:v>
                </c:pt>
                <c:pt idx="1">
                  <c:v>0.1906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7</TotalTime>
  <ScaleCrop>false</ScaleCrop>
  <LinksUpToDate>false</LinksUpToDate>
  <CharactersWithSpaces>9241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2022-09-07T17:41:00Z</dcterms:created>
  <dc:creator>Richard Meng</dc:creator>
  <cp:lastModifiedBy>Administrator</cp:lastModifiedBy>
  <cp:lastPrinted>2022-09-04T00:20:00Z</cp:lastPrinted>
  <dcterms:modified xsi:type="dcterms:W3CDTF">2024-03-15T09:39:42Z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4D5412AC49434D058D1E5DF2EC07A4C7_13</vt:lpwstr>
  </property>
  <property fmtid="{D5CDD505-2E9C-101B-9397-08002B2CF9AE}" pid="4" name="commondata">
    <vt:lpwstr>eyJoZGlkIjoiMDUyZTZiOWNhNTRkM2JiNDQwZWRmZDZjZTIwNDhiY2IifQ==</vt:lpwstr>
  </property>
</Properties>
</file>