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年度锡林郭勒盟科技教育和创新服务中心公开文档</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单位名称：锡林郭勒盟科技教育和创新服务中心</w:t>
      </w:r>
    </w:p>
    <w:p>
      <w:pPr>
        <w:spacing w:line="360" w:lineRule="auto"/>
        <w:ind w:firstLine="2240" w:firstLineChars="700"/>
        <w:jc w:val="left"/>
        <w:rPr>
          <w:rFonts w:ascii="宋体" w:hAnsi="宋体"/>
          <w:sz w:val="32"/>
          <w:szCs w:val="32"/>
        </w:rPr>
      </w:pPr>
      <w:r>
        <w:rPr>
          <w:rFonts w:hint="eastAsia" w:ascii="宋体" w:hAnsi="宋体"/>
          <w:sz w:val="32"/>
          <w:szCs w:val="32"/>
        </w:rPr>
        <w:t>单位负责人：刘国昌</w:t>
      </w:r>
    </w:p>
    <w:p>
      <w:pPr>
        <w:spacing w:line="360" w:lineRule="auto"/>
        <w:ind w:firstLine="2240" w:firstLineChars="700"/>
        <w:jc w:val="left"/>
        <w:rPr>
          <w:rFonts w:ascii="宋体" w:hAnsi="宋体"/>
          <w:sz w:val="32"/>
          <w:szCs w:val="32"/>
        </w:rPr>
      </w:pPr>
      <w:r>
        <w:rPr>
          <w:rFonts w:hint="eastAsia" w:ascii="宋体" w:hAnsi="宋体"/>
          <w:sz w:val="32"/>
          <w:szCs w:val="32"/>
        </w:rPr>
        <w:t>财务负责人：王小平</w:t>
      </w:r>
    </w:p>
    <w:p>
      <w:pPr>
        <w:spacing w:line="360" w:lineRule="auto"/>
        <w:ind w:firstLine="2240" w:firstLineChars="700"/>
        <w:jc w:val="left"/>
        <w:rPr>
          <w:rFonts w:ascii="宋体" w:hAnsi="宋体"/>
          <w:sz w:val="32"/>
          <w:szCs w:val="32"/>
        </w:rPr>
      </w:pPr>
      <w:r>
        <w:rPr>
          <w:rFonts w:hint="eastAsia" w:ascii="宋体" w:hAnsi="宋体"/>
          <w:sz w:val="32"/>
          <w:szCs w:val="32"/>
        </w:rPr>
        <w:t>编制人：徐丽丽</w:t>
      </w:r>
    </w:p>
    <w:p>
      <w:pPr>
        <w:spacing w:line="360" w:lineRule="auto"/>
        <w:ind w:firstLine="2240" w:firstLineChars="700"/>
        <w:jc w:val="left"/>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年10月</w:t>
      </w:r>
    </w:p>
    <w:p>
      <w:pPr>
        <w:pStyle w:val="4"/>
      </w:pPr>
      <w:r>
        <w:rPr>
          <w:rFonts w:hint="eastAsia"/>
        </w:rPr>
        <w:t>公开文档</w:t>
      </w: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黑体" w:hAnsi="黑体" w:eastAsia="黑体" w:cs="黑体"/>
          <w:kern w:val="0"/>
          <w:sz w:val="32"/>
          <w:szCs w:val="32"/>
        </w:rPr>
      </w:pPr>
      <w:r>
        <w:rPr>
          <w:rFonts w:ascii="黑体" w:hAnsi="黑体" w:eastAsia="黑体" w:cs="黑体"/>
          <w:kern w:val="0"/>
          <w:sz w:val="32"/>
          <w:szCs w:val="32"/>
        </w:rPr>
        <w:t>第一部分 单位概况</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一、主要职能、职责</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二、单位机构设置及决算单位构成情况</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三、2023年度单位主要工作完成情况</w:t>
      </w:r>
    </w:p>
    <w:p>
      <w:pPr>
        <w:widowControl/>
        <w:spacing w:before="240" w:after="240"/>
        <w:jc w:val="left"/>
        <w:rPr>
          <w:rFonts w:ascii="黑体" w:hAnsi="黑体" w:eastAsia="黑体" w:cs="黑体"/>
          <w:kern w:val="0"/>
          <w:sz w:val="32"/>
          <w:szCs w:val="32"/>
        </w:rPr>
      </w:pPr>
      <w:r>
        <w:rPr>
          <w:rFonts w:ascii="黑体" w:hAnsi="黑体" w:eastAsia="黑体" w:cs="黑体"/>
          <w:kern w:val="0"/>
          <w:sz w:val="32"/>
          <w:szCs w:val="32"/>
        </w:rPr>
        <w:t>第二部分 单位决算情况说明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一、收入支出决算总体情况说明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二、收入决算情况说明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三、支出决算情况说明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四、财政拨款收入支出决算总体情况说明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五、一般公共预算财政拨款支出决算情况说明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七、一般公共预算财政拨款项目支出决算情况说明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八、财政拨款“三公”经费支出决算情况说明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九、政府性基金预算财政拨款支出决算情况说明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十、国有资本经营预算财政拨款支出决算情况说明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十一、机构运行经费支出决算情况说明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十二、政府采购支出决算情况说明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十三、国有资产占用情况说明</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十四、预算绩效情况说明</w:t>
      </w:r>
    </w:p>
    <w:p>
      <w:pPr>
        <w:widowControl/>
        <w:spacing w:before="240" w:after="240"/>
        <w:jc w:val="left"/>
        <w:rPr>
          <w:rFonts w:ascii="黑体" w:hAnsi="黑体" w:eastAsia="黑体" w:cs="黑体"/>
          <w:kern w:val="0"/>
          <w:sz w:val="32"/>
          <w:szCs w:val="32"/>
        </w:rPr>
      </w:pPr>
      <w:r>
        <w:rPr>
          <w:rFonts w:ascii="黑体" w:hAnsi="黑体" w:eastAsia="黑体" w:cs="黑体"/>
          <w:kern w:val="0"/>
          <w:sz w:val="32"/>
          <w:szCs w:val="32"/>
        </w:rPr>
        <w:t>第三部分 名词解释</w:t>
      </w:r>
    </w:p>
    <w:p>
      <w:pPr>
        <w:widowControl/>
        <w:spacing w:before="240" w:after="240"/>
        <w:jc w:val="left"/>
        <w:rPr>
          <w:rFonts w:ascii="黑体" w:hAnsi="黑体" w:eastAsia="黑体" w:cs="黑体"/>
          <w:kern w:val="0"/>
          <w:sz w:val="32"/>
          <w:szCs w:val="32"/>
        </w:rPr>
      </w:pPr>
      <w:r>
        <w:rPr>
          <w:rFonts w:ascii="黑体" w:hAnsi="黑体" w:eastAsia="黑体" w:cs="黑体"/>
          <w:kern w:val="0"/>
          <w:sz w:val="32"/>
          <w:szCs w:val="32"/>
        </w:rPr>
        <w:t>第四部分 决算公开联系方式及信息反馈渠道</w:t>
      </w:r>
    </w:p>
    <w:p>
      <w:pPr>
        <w:widowControl/>
        <w:spacing w:before="240" w:after="240"/>
        <w:jc w:val="left"/>
        <w:rPr>
          <w:rFonts w:ascii="Times New Roman" w:hAnsi="Times New Roman" w:eastAsia="Times New Roman" w:cs="Times New Roman"/>
          <w:kern w:val="0"/>
          <w:sz w:val="32"/>
          <w:szCs w:val="32"/>
        </w:rPr>
      </w:pPr>
      <w:r>
        <w:rPr>
          <w:rFonts w:ascii="黑体" w:hAnsi="黑体" w:eastAsia="黑体" w:cs="黑体"/>
          <w:kern w:val="0"/>
          <w:sz w:val="32"/>
          <w:szCs w:val="32"/>
        </w:rPr>
        <w:t>第五部分 单位决算表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一、收入支出决算总表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二、收入决算表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三、支出决算表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四、财政拨款收入支出决算总表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五、一般公共预算财政拨款支出决算表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六、一般公共预算财政拨款基本支出决算明细表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七、一般公共预算财政拨款项目支出决算明细表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八、政府性基金预算财政拨款收入支出决算表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九、国有资本经营预算财政拨款支出决算表</w:t>
      </w:r>
    </w:p>
    <w:p>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十、财政拨款“三公”经费支出决算表</w:t>
      </w:r>
    </w:p>
    <w:p>
      <w:pPr>
        <w:widowControl/>
        <w:spacing w:before="240" w:after="240"/>
        <w:jc w:val="left"/>
        <w:rPr>
          <w:rFonts w:ascii="fang_zheng_xiao_biao_song_ti" w:hAnsi="fang_zheng_xiao_biao_song_ti" w:eastAsia="fang_zheng_xiao_biao_song_ti" w:cs="fang_zheng_xiao_biao_song_ti"/>
          <w:b/>
          <w:bCs/>
          <w:color w:val="000000"/>
          <w:kern w:val="0"/>
          <w:sz w:val="36"/>
          <w:szCs w:val="36"/>
        </w:rPr>
      </w:pPr>
      <w:r>
        <w:rPr>
          <w:rFonts w:hint="eastAsia" w:ascii="仿宋" w:hAnsi="仿宋" w:eastAsia="仿宋" w:cs="仿宋"/>
          <w:kern w:val="0"/>
          <w:sz w:val="32"/>
          <w:szCs w:val="32"/>
        </w:rPr>
        <w:t>十一、机构运行经费支出、国有资产占用情况及政府采购支出信息表</w:t>
      </w:r>
      <w:r>
        <w:rPr>
          <w:rFonts w:ascii="fang_zheng_xiao_biao_song_ti" w:hAnsi="fang_zheng_xiao_biao_song_ti" w:eastAsia="fang_zheng_xiao_biao_song_ti" w:cs="fang_zheng_xiao_biao_song_ti"/>
          <w:b/>
          <w:bCs/>
          <w:color w:val="000000"/>
          <w:kern w:val="0"/>
          <w:sz w:val="36"/>
          <w:szCs w:val="36"/>
        </w:rPr>
        <w:br w:type="page"/>
      </w:r>
    </w:p>
    <w:p>
      <w:pPr>
        <w:widowControl/>
        <w:spacing w:before="240" w:after="240"/>
        <w:jc w:val="center"/>
        <w:rPr>
          <w:rFonts w:hint="eastAsia" w:ascii="黑体" w:hAnsi="黑体" w:eastAsia="黑体" w:cs="黑体"/>
          <w:kern w:val="0"/>
          <w:sz w:val="32"/>
          <w:szCs w:val="32"/>
        </w:rPr>
      </w:pPr>
      <w:r>
        <w:rPr>
          <w:rFonts w:hint="eastAsia" w:ascii="黑体" w:hAnsi="黑体" w:eastAsia="黑体" w:cs="黑体"/>
          <w:b/>
          <w:bCs/>
          <w:color w:val="000000"/>
          <w:kern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before="240" w:after="240"/>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一、主要职能、职责</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锡林郭勒盟科技教育和创新服务中心的主要职能是负责完成国家青少年科技教育规划中的常规性工作，开展农村、牧区科普工作和实用技术推广，具体如下：</w:t>
      </w:r>
    </w:p>
    <w:p>
      <w:pPr>
        <w:keepNext w:val="0"/>
        <w:keepLines w:val="0"/>
        <w:pageBreakBefore w:val="0"/>
        <w:widowControl/>
        <w:pBdr>
          <w:left w:val="none" w:color="auto" w:sz="0" w:space="30"/>
        </w:pBdr>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（1）承担青少年科技教育普及、青少年科技竞赛和科技辅导员培训交流等工作。</w:t>
      </w:r>
    </w:p>
    <w:p>
      <w:pPr>
        <w:keepNext w:val="0"/>
        <w:keepLines w:val="0"/>
        <w:pageBreakBefore w:val="0"/>
        <w:widowControl/>
        <w:pBdr>
          <w:left w:val="none" w:color="auto" w:sz="0" w:space="30"/>
        </w:pBdr>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（2）承担青少年科技教育项目相关辅助性工作。</w:t>
      </w:r>
    </w:p>
    <w:p>
      <w:pPr>
        <w:keepNext w:val="0"/>
        <w:keepLines w:val="0"/>
        <w:pageBreakBefore w:val="0"/>
        <w:widowControl/>
        <w:pBdr>
          <w:left w:val="none" w:color="auto" w:sz="0" w:space="30"/>
        </w:pBdr>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（3）承担农村牧区科普宣传和实用技术推广普及辅助性工作。</w:t>
      </w:r>
    </w:p>
    <w:p>
      <w:pPr>
        <w:keepNext w:val="0"/>
        <w:keepLines w:val="0"/>
        <w:pageBreakBefore w:val="0"/>
        <w:widowControl/>
        <w:pBdr>
          <w:left w:val="none" w:color="auto" w:sz="0" w:space="30"/>
        </w:pBdr>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（4）承担高校、企业科学普及和科技创新相关服务工作，开展与高校、企业技术创新相关的科技活动。</w:t>
      </w:r>
    </w:p>
    <w:p>
      <w:pPr>
        <w:keepNext w:val="0"/>
        <w:keepLines w:val="0"/>
        <w:pageBreakBefore w:val="0"/>
        <w:widowControl/>
        <w:pBdr>
          <w:left w:val="none" w:color="auto" w:sz="0" w:space="30"/>
        </w:pBdr>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（5）承担全盟各级科技场馆技术支持、资源服务等相关工作，承担流动科技馆、科普大篷车项目实施的服务工作。</w:t>
      </w:r>
    </w:p>
    <w:p>
      <w:pPr>
        <w:keepNext w:val="0"/>
        <w:keepLines w:val="0"/>
        <w:pageBreakBefore w:val="0"/>
        <w:widowControl/>
        <w:pBdr>
          <w:left w:val="none" w:color="auto" w:sz="0" w:space="30"/>
        </w:pBdr>
        <w:kinsoku/>
        <w:wordWrap/>
        <w:overflowPunct/>
        <w:topLinePunct w:val="0"/>
        <w:autoSpaceDE/>
        <w:autoSpaceDN/>
        <w:bidi w:val="0"/>
        <w:adjustRightInd/>
        <w:snapToGrid/>
        <w:spacing w:beforeAutospacing="0" w:afterAutospacing="0"/>
        <w:ind w:left="0" w:firstLine="640" w:firstLineChars="200"/>
        <w:jc w:val="both"/>
        <w:textAlignment w:val="auto"/>
        <w:rPr>
          <w:rFonts w:ascii="Times New Roman" w:hAnsi="Times New Roman" w:eastAsia="Times New Roman" w:cs="Times New Roman"/>
          <w:kern w:val="0"/>
          <w:sz w:val="24"/>
        </w:rPr>
      </w:pPr>
      <w:r>
        <w:rPr>
          <w:rFonts w:hint="eastAsia" w:ascii="方正仿宋_GB2312" w:hAnsi="方正仿宋_GB2312" w:eastAsia="方正仿宋_GB2312" w:cs="方正仿宋_GB2312"/>
          <w:kern w:val="0"/>
          <w:sz w:val="32"/>
          <w:szCs w:val="32"/>
        </w:rPr>
        <w:t>（6）完成盟科学技术协会交办的其他工作任务。</w:t>
      </w:r>
    </w:p>
    <w:p>
      <w:pPr>
        <w:keepNext w:val="0"/>
        <w:keepLines w:val="0"/>
        <w:pageBreakBefore w:val="0"/>
        <w:widowControl/>
        <w:kinsoku/>
        <w:wordWrap/>
        <w:overflowPunct/>
        <w:topLinePunct w:val="0"/>
        <w:autoSpaceDE/>
        <w:autoSpaceDN/>
        <w:bidi w:val="0"/>
        <w:adjustRightInd/>
        <w:snapToGrid/>
        <w:spacing w:before="240" w:after="240"/>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二、单位机构设置及决算单位构成情况</w:t>
      </w:r>
    </w:p>
    <w:p>
      <w:pPr>
        <w:keepNext w:val="0"/>
        <w:keepLines w:val="0"/>
        <w:pageBreakBefore w:val="0"/>
        <w:widowControl/>
        <w:pBdr>
          <w:left w:val="none" w:color="auto" w:sz="0" w:space="30"/>
        </w:pBdr>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val="en-US" w:eastAsia="zh-CN"/>
        </w:rPr>
        <w:t>1.</w:t>
      </w:r>
      <w:r>
        <w:rPr>
          <w:rFonts w:hint="eastAsia" w:ascii="方正仿宋_GB2312" w:hAnsi="方正仿宋_GB2312" w:eastAsia="方正仿宋_GB2312" w:cs="方正仿宋_GB2312"/>
          <w:kern w:val="0"/>
          <w:sz w:val="32"/>
          <w:szCs w:val="32"/>
        </w:rPr>
        <w:t>根据单位职责分工，本单位</w:t>
      </w:r>
      <w:r>
        <w:rPr>
          <w:rFonts w:hint="eastAsia" w:ascii="方正仿宋_GB2312" w:hAnsi="方正仿宋_GB2312" w:eastAsia="方正仿宋_GB2312" w:cs="方正仿宋_GB2312"/>
          <w:kern w:val="0"/>
          <w:sz w:val="32"/>
          <w:szCs w:val="32"/>
          <w:lang w:eastAsia="zh-CN"/>
        </w:rPr>
        <w:t>无内设机构，</w:t>
      </w:r>
      <w:r>
        <w:rPr>
          <w:rFonts w:hint="eastAsia" w:ascii="方正仿宋_GB2312" w:hAnsi="方正仿宋_GB2312" w:eastAsia="方正仿宋_GB2312" w:cs="方正仿宋_GB2312"/>
          <w:kern w:val="0"/>
          <w:sz w:val="32"/>
          <w:szCs w:val="32"/>
        </w:rPr>
        <w:t>本单位无下属单位。</w:t>
      </w:r>
    </w:p>
    <w:p>
      <w:pPr>
        <w:keepNext w:val="0"/>
        <w:keepLines w:val="0"/>
        <w:pageBreakBefore w:val="0"/>
        <w:widowControl/>
        <w:pBdr>
          <w:left w:val="none" w:color="auto" w:sz="0" w:space="30"/>
        </w:pBdr>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eastAsia="zh-CN"/>
        </w:rPr>
        <w:t>本单位</w:t>
      </w:r>
      <w:r>
        <w:rPr>
          <w:rFonts w:hint="eastAsia" w:ascii="方正仿宋_GB2312" w:hAnsi="方正仿宋_GB2312" w:eastAsia="方正仿宋_GB2312" w:cs="方正仿宋_GB2312"/>
          <w:kern w:val="0"/>
          <w:sz w:val="32"/>
          <w:szCs w:val="32"/>
        </w:rPr>
        <w:t>根据《内蒙古自治区事业单位机构编制管理办</w:t>
      </w:r>
      <w:r>
        <w:rPr>
          <w:rFonts w:hint="eastAsia" w:ascii="方正仿宋_GB2312" w:hAnsi="方正仿宋_GB2312" w:eastAsia="方正仿宋_GB2312" w:cs="方正仿宋_GB2312"/>
          <w:kern w:val="0"/>
          <w:sz w:val="32"/>
          <w:szCs w:val="32"/>
          <w:lang w:eastAsia="zh-CN"/>
        </w:rPr>
        <w:t>法》</w:t>
      </w:r>
      <w:r>
        <w:rPr>
          <w:rFonts w:hint="eastAsia" w:ascii="方正仿宋_GB2312" w:hAnsi="方正仿宋_GB2312" w:eastAsia="方正仿宋_GB2312" w:cs="方正仿宋_GB2312"/>
          <w:kern w:val="0"/>
          <w:sz w:val="32"/>
          <w:szCs w:val="32"/>
        </w:rPr>
        <w:t>规定综合设置。核定事业编制7人，核定科级领导职数2名（1正1副</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kern w:val="0"/>
          <w:sz w:val="32"/>
          <w:szCs w:val="32"/>
        </w:rPr>
        <w:t>。年末实有在职人员</w:t>
      </w:r>
      <w:r>
        <w:rPr>
          <w:rFonts w:hint="eastAsia" w:ascii="方正仿宋_GB2312" w:hAnsi="方正仿宋_GB2312" w:eastAsia="方正仿宋_GB2312" w:cs="方正仿宋_GB2312"/>
          <w:kern w:val="0"/>
          <w:sz w:val="32"/>
          <w:szCs w:val="32"/>
          <w:lang w:val="en-US" w:eastAsia="zh-CN"/>
        </w:rPr>
        <w:t>7</w:t>
      </w:r>
      <w:r>
        <w:rPr>
          <w:rFonts w:hint="eastAsia" w:ascii="方正仿宋_GB2312" w:hAnsi="方正仿宋_GB2312" w:eastAsia="方正仿宋_GB2312" w:cs="方正仿宋_GB2312"/>
          <w:kern w:val="0"/>
          <w:sz w:val="32"/>
          <w:szCs w:val="32"/>
        </w:rPr>
        <w:t>名，其中工勤1名，</w:t>
      </w:r>
      <w:r>
        <w:rPr>
          <w:rFonts w:hint="eastAsia" w:ascii="方正仿宋_GB2312" w:hAnsi="方正仿宋_GB2312" w:eastAsia="方正仿宋_GB2312" w:cs="方正仿宋_GB2312"/>
          <w:kern w:val="0"/>
          <w:sz w:val="32"/>
          <w:szCs w:val="32"/>
          <w:lang w:val="en-US" w:eastAsia="zh-CN"/>
        </w:rPr>
        <w:t>6</w:t>
      </w:r>
      <w:r>
        <w:rPr>
          <w:rFonts w:hint="eastAsia" w:ascii="方正仿宋_GB2312" w:hAnsi="方正仿宋_GB2312" w:eastAsia="方正仿宋_GB2312" w:cs="方正仿宋_GB2312"/>
          <w:kern w:val="0"/>
          <w:sz w:val="32"/>
          <w:szCs w:val="32"/>
        </w:rPr>
        <w:t>名事业编制人员。</w:t>
      </w:r>
    </w:p>
    <w:p>
      <w:pPr>
        <w:keepNext w:val="0"/>
        <w:keepLines w:val="0"/>
        <w:pageBreakBefore w:val="0"/>
        <w:widowControl/>
        <w:pBdr>
          <w:left w:val="none" w:color="auto" w:sz="0" w:space="30"/>
        </w:pBdr>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2.从决算单位构成看，纳入本单位决算编制范围的预算单位共计</w:t>
      </w:r>
      <w:r>
        <w:rPr>
          <w:rFonts w:hint="eastAsia" w:ascii="方正仿宋_GB2312" w:hAnsi="方正仿宋_GB2312" w:eastAsia="方正仿宋_GB2312" w:cs="方正仿宋_GB2312"/>
          <w:kern w:val="0"/>
          <w:sz w:val="32"/>
          <w:szCs w:val="32"/>
          <w:lang w:val="en-US" w:eastAsia="zh-CN"/>
        </w:rPr>
        <w:t>1</w:t>
      </w:r>
      <w:r>
        <w:rPr>
          <w:rFonts w:hint="eastAsia" w:ascii="方正仿宋_GB2312" w:hAnsi="方正仿宋_GB2312" w:eastAsia="方正仿宋_GB2312" w:cs="方正仿宋_GB2312"/>
          <w:kern w:val="0"/>
          <w:sz w:val="32"/>
          <w:szCs w:val="32"/>
        </w:rPr>
        <w:t>家，具体包括：锡林郭勒盟科技教育和创新服务中心部门本级。详细情况见表：</w:t>
      </w:r>
    </w:p>
    <w:tbl>
      <w:tblPr>
        <w:tblStyle w:val="32"/>
        <w:tblpPr w:leftFromText="180" w:rightFromText="180" w:vertAnchor="text" w:horzAnchor="page" w:tblpXSpec="center" w:tblpY="437"/>
        <w:tblOverlap w:val="never"/>
        <w:tblW w:w="8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3"/>
        <w:gridCol w:w="3261"/>
        <w:gridCol w:w="46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967" w:hRule="atLeast"/>
          <w:jc w:val="center"/>
        </w:trPr>
        <w:tc>
          <w:tcPr>
            <w:tcW w:w="663"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ascii="仿宋" w:hAnsi="仿宋" w:eastAsia="仿宋" w:cs="仿宋"/>
                <w:spacing w:val="0"/>
                <w:position w:val="0"/>
                <w:sz w:val="32"/>
                <w:szCs w:val="32"/>
              </w:rPr>
            </w:pPr>
            <w:r>
              <w:rPr>
                <w:rFonts w:hint="eastAsia" w:ascii="仿宋" w:hAnsi="仿宋" w:eastAsia="仿宋" w:cs="仿宋"/>
                <w:spacing w:val="0"/>
                <w:position w:val="0"/>
                <w:sz w:val="32"/>
                <w:szCs w:val="32"/>
                <w:lang w:val="en-US" w:eastAsia="zh-CN"/>
              </w:rPr>
              <w:t>序</w:t>
            </w:r>
            <w:r>
              <w:rPr>
                <w:rFonts w:ascii="仿宋" w:hAnsi="仿宋" w:eastAsia="仿宋" w:cs="仿宋"/>
                <w:spacing w:val="0"/>
                <w:position w:val="0"/>
                <w:sz w:val="32"/>
                <w:szCs w:val="32"/>
              </w:rPr>
              <w:t>号</w:t>
            </w:r>
          </w:p>
        </w:tc>
        <w:tc>
          <w:tcPr>
            <w:tcW w:w="32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单位名称</w:t>
            </w:r>
          </w:p>
        </w:tc>
        <w:tc>
          <w:tcPr>
            <w:tcW w:w="460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单位性质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967" w:hRule="atLeast"/>
          <w:jc w:val="center"/>
        </w:trPr>
        <w:tc>
          <w:tcPr>
            <w:tcW w:w="6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1</w:t>
            </w:r>
          </w:p>
        </w:tc>
        <w:tc>
          <w:tcPr>
            <w:tcW w:w="32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锡林郭勒盟科技教育和创新服务中心</w:t>
            </w:r>
          </w:p>
        </w:tc>
        <w:tc>
          <w:tcPr>
            <w:tcW w:w="460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财政拨款事业单位</w:t>
            </w:r>
          </w:p>
        </w:tc>
      </w:tr>
    </w:tbl>
    <w:p>
      <w:pPr>
        <w:widowControl/>
        <w:spacing w:before="240" w:after="240"/>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   </w:t>
      </w:r>
    </w:p>
    <w:p>
      <w:pPr>
        <w:widowControl/>
        <w:spacing w:before="240" w:after="240"/>
        <w:rPr>
          <w:rFonts w:ascii="times_new_roman" w:hAnsi="times_new_roman" w:eastAsia="times_new_roman" w:cs="times_new_roman"/>
          <w:kern w:val="0"/>
          <w:sz w:val="27"/>
          <w:szCs w:val="27"/>
        </w:rPr>
      </w:pPr>
    </w:p>
    <w:p>
      <w:pPr>
        <w:widowControl/>
        <w:spacing w:before="240" w:after="240"/>
        <w:rPr>
          <w:rFonts w:ascii="times_new_roman" w:hAnsi="times_new_roman" w:eastAsia="times_new_roman" w:cs="times_new_roman"/>
          <w:kern w:val="0"/>
          <w:sz w:val="27"/>
          <w:szCs w:val="27"/>
        </w:rPr>
      </w:pPr>
    </w:p>
    <w:p>
      <w:pPr>
        <w:widowControl/>
        <w:spacing w:before="240" w:after="240"/>
        <w:jc w:val="left"/>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adjustRightInd/>
        <w:snapToGrid/>
        <w:spacing w:before="240" w:after="240"/>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三、2023年度单位主要工作完成情况</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2023年锡盟科技教育和创新服务工作坚持以习近平新时代中国特色社会主义思想为指导，全面贯彻落实党的二十大精神，深入贯彻落实《锡林郭勒盟全民科学素质行动规划纲要实施方案（2021—2025 年）》，积极落实盟委行署“双百”攻坚行动常态化长效化。按照盟科协和自治区科技教育和创新服务中心的工作部署，以科技辅导员和青少年科技创新后备人才建设为抓手，以企业科技创新和农牧业科技服务为支点，以科普活动为载体，围绕广大青少年、科技辅导员、社区居民、农牧民、企业科技工作者等重点人群，积极组织并开展各项活动，全力推动中心工作提质增效。现将2023年工作总结如下：</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（一）开展青少年竞赛活动，激发青少年创新活力。</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（二）创新科普方法，提升全民科学素质。</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（三）实施科技辅导员能力提升行动，提高科技教育水平。</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（四）提升自身服务水平，助力企业创新发展。</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（五）密切联系农技协、科技小院，掌握运行基本情况。</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（六）组织参加各项活动，所获成绩喜人。</w:t>
      </w:r>
    </w:p>
    <w:p>
      <w:pPr>
        <w:widowControl/>
        <w:spacing w:before="240" w:after="240"/>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第二部分  单位决算情况说明</w:t>
      </w:r>
    </w:p>
    <w:p>
      <w:pPr>
        <w:keepNext w:val="0"/>
        <w:keepLines w:val="0"/>
        <w:pageBreakBefore w:val="0"/>
        <w:widowControl/>
        <w:kinsoku/>
        <w:wordWrap/>
        <w:overflowPunct/>
        <w:topLinePunct w:val="0"/>
        <w:autoSpaceDE/>
        <w:autoSpaceDN/>
        <w:bidi w:val="0"/>
        <w:adjustRightInd/>
        <w:snapToGrid/>
        <w:spacing w:before="240" w:after="240"/>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2023年度收入、支出决算总计 85.43万元。与年初预算相比，收、支总计各增加 2.38万元，增长 2.87%，变动原因：</w:t>
      </w:r>
      <w:r>
        <w:rPr>
          <w:rFonts w:hint="eastAsia" w:ascii="方正仿宋_GB2312" w:hAnsi="方正仿宋_GB2312" w:eastAsia="方正仿宋_GB2312" w:cs="方正仿宋_GB2312"/>
          <w:kern w:val="0"/>
          <w:sz w:val="32"/>
          <w:szCs w:val="32"/>
        </w:rPr>
        <w:t>本年度业务活动增加</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kern w:val="0"/>
          <w:sz w:val="32"/>
          <w:szCs w:val="32"/>
        </w:rPr>
        <w:t>公用经费列支较年初预算增加</w:t>
      </w:r>
      <w:r>
        <w:rPr>
          <w:rFonts w:hint="eastAsia" w:ascii="方正仿宋_GB2312" w:hAnsi="方正仿宋_GB2312" w:eastAsia="方正仿宋_GB2312" w:cs="方正仿宋_GB2312"/>
          <w:kern w:val="0"/>
          <w:sz w:val="32"/>
          <w:szCs w:val="32"/>
          <w:lang w:val="en-US" w:eastAsia="zh-CN"/>
        </w:rPr>
        <w:t>；与上年决算相比，收、支总计各增加 28.74万元，增长 50.71%。其中：</w:t>
      </w:r>
    </w:p>
    <w:p>
      <w:pPr>
        <w:keepNext w:val="0"/>
        <w:keepLines w:val="0"/>
        <w:pageBreakBefore w:val="0"/>
        <w:widowControl/>
        <w:kinsoku/>
        <w:wordWrap/>
        <w:overflowPunct/>
        <w:topLinePunct w:val="0"/>
        <w:autoSpaceDE/>
        <w:autoSpaceDN/>
        <w:bidi w:val="0"/>
        <w:adjustRightInd/>
        <w:snapToGrid/>
        <w:spacing w:before="240" w:after="240"/>
        <w:ind w:firstLine="643" w:firstLineChars="200"/>
        <w:jc w:val="left"/>
        <w:textAlignment w:val="auto"/>
        <w:rPr>
          <w:rFonts w:hint="eastAsia" w:ascii="楷体" w:hAnsi="楷体" w:eastAsia="楷体" w:cs="楷体"/>
          <w:kern w:val="0"/>
          <w:sz w:val="32"/>
          <w:szCs w:val="32"/>
        </w:rPr>
      </w:pPr>
      <w:r>
        <w:rPr>
          <w:rFonts w:hint="eastAsia" w:ascii="楷体" w:hAnsi="楷体" w:eastAsia="楷体" w:cs="楷体"/>
          <w:b/>
          <w:bCs/>
          <w:kern w:val="0"/>
          <w:sz w:val="32"/>
          <w:szCs w:val="32"/>
        </w:rPr>
        <w:t>（一）收入决算总计</w:t>
      </w:r>
      <w:r>
        <w:rPr>
          <w:rFonts w:hint="eastAsia" w:ascii="楷体" w:hAnsi="楷体" w:eastAsia="楷体" w:cs="楷体"/>
          <w:b/>
          <w:bCs/>
          <w:kern w:val="0"/>
          <w:sz w:val="32"/>
          <w:szCs w:val="32"/>
          <w:u w:val="none"/>
        </w:rPr>
        <w:t xml:space="preserve"> 85.43</w:t>
      </w:r>
      <w:r>
        <w:rPr>
          <w:rFonts w:hint="eastAsia" w:ascii="楷体" w:hAnsi="楷体" w:eastAsia="楷体" w:cs="楷体"/>
          <w:b/>
          <w:bCs/>
          <w:kern w:val="0"/>
          <w:sz w:val="32"/>
          <w:szCs w:val="32"/>
        </w:rPr>
        <w:t>万元。包括：</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1.本年收入决算合计 85.41万元。与上年决算相比，增加 28.73万元，增长 50.67%，变动原因：本年度新增2人及人员工资正常晋级，相应人员经费较上年有所增加。</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2.使用非财政拨款结余和专用结余 0.00万元。与上年决算相比，增加 0.00万元，增长0%，变动原因：不存在此项内容。</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3.年初结转和结余 0.02万元。与上年决算相比，增加 0.02万元，增长 100%，变动原因：此款为年度退税，未完成列支。</w:t>
      </w:r>
    </w:p>
    <w:p>
      <w:pPr>
        <w:keepNext w:val="0"/>
        <w:keepLines w:val="0"/>
        <w:pageBreakBefore w:val="0"/>
        <w:widowControl/>
        <w:kinsoku/>
        <w:wordWrap/>
        <w:overflowPunct/>
        <w:topLinePunct w:val="0"/>
        <w:autoSpaceDE/>
        <w:autoSpaceDN/>
        <w:bidi w:val="0"/>
        <w:adjustRightInd/>
        <w:snapToGrid/>
        <w:spacing w:before="240" w:after="240"/>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（二）支出决算总计 85.43万元。包括：</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1.本年支出决算合计 85.43万元。与上年决算相比，增加28.76万元，增长50.76%，变动原因：本年度新增2人及人员工资正常晋级，相应人员经费较上年有所增加。</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2.结余分配 0.00万元。</w:t>
      </w:r>
      <w:r>
        <w:rPr>
          <w:rFonts w:hint="eastAsia" w:ascii="仿宋_GB2312" w:hAnsi="仿宋_GB2312" w:eastAsia="仿宋_GB2312" w:cs="仿宋_GB2312"/>
          <w:color w:val="auto"/>
          <w:kern w:val="0"/>
          <w:sz w:val="32"/>
          <w:szCs w:val="24"/>
          <w:lang w:val="en-US" w:eastAsia="zh-CN" w:bidi="ar"/>
        </w:rPr>
        <w:t>结转和结余事项：本年度本单位年末无结余资金。</w:t>
      </w:r>
      <w:r>
        <w:rPr>
          <w:rFonts w:hint="eastAsia" w:ascii="方正仿宋_GB2312" w:hAnsi="方正仿宋_GB2312" w:eastAsia="方正仿宋_GB2312" w:cs="方正仿宋_GB2312"/>
          <w:kern w:val="0"/>
          <w:sz w:val="32"/>
          <w:szCs w:val="32"/>
          <w:lang w:val="en-US" w:eastAsia="zh-CN"/>
        </w:rPr>
        <w:t>与上年决算相比，减少 0.00万元，减少0%，变动原因：本年度各项经费全部完成列支，无结转结余。</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3.年末结转和结余 0.00万元。结转和结余事项：</w:t>
      </w:r>
      <w:r>
        <w:rPr>
          <w:rFonts w:hint="eastAsia" w:ascii="仿宋_GB2312" w:hAnsi="仿宋_GB2312" w:eastAsia="仿宋_GB2312" w:cs="仿宋_GB2312"/>
          <w:color w:val="auto"/>
          <w:kern w:val="0"/>
          <w:sz w:val="32"/>
          <w:szCs w:val="24"/>
          <w:lang w:val="en-US" w:eastAsia="zh-CN" w:bidi="ar"/>
        </w:rPr>
        <w:t>本年度本单位年末无结转结余资金</w:t>
      </w:r>
      <w:r>
        <w:rPr>
          <w:rFonts w:ascii="fang_song_gb2312" w:hAnsi="fang_song_gb2312" w:eastAsia="fang_song_gb2312" w:cs="fang_song_gb2312"/>
          <w:kern w:val="0"/>
          <w:sz w:val="27"/>
          <w:szCs w:val="27"/>
        </w:rPr>
        <w:t>。</w:t>
      </w:r>
      <w:r>
        <w:rPr>
          <w:rFonts w:hint="eastAsia" w:ascii="方正仿宋_GB2312" w:hAnsi="方正仿宋_GB2312" w:eastAsia="方正仿宋_GB2312" w:cs="方正仿宋_GB2312"/>
          <w:kern w:val="0"/>
          <w:sz w:val="32"/>
          <w:szCs w:val="32"/>
          <w:lang w:val="en-US" w:eastAsia="zh-CN"/>
        </w:rPr>
        <w:t>与上年决算相比，减少 0.02万</w:t>
      </w:r>
      <w:bookmarkStart w:id="1" w:name="_GoBack"/>
      <w:bookmarkEnd w:id="1"/>
      <w:r>
        <w:rPr>
          <w:rFonts w:hint="eastAsia" w:ascii="方正仿宋_GB2312" w:hAnsi="方正仿宋_GB2312" w:eastAsia="方正仿宋_GB2312" w:cs="方正仿宋_GB2312"/>
          <w:kern w:val="0"/>
          <w:sz w:val="32"/>
          <w:szCs w:val="32"/>
          <w:lang w:val="en-US" w:eastAsia="zh-CN"/>
        </w:rPr>
        <w:t>元，减少 100.00%，变动原因：本年度各项经费全部完成列支，无结转结余。</w:t>
      </w:r>
    </w:p>
    <w:p>
      <w:pPr>
        <w:keepNext w:val="0"/>
        <w:keepLines w:val="0"/>
        <w:pageBreakBefore w:val="0"/>
        <w:widowControl/>
        <w:kinsoku/>
        <w:wordWrap/>
        <w:overflowPunct/>
        <w:topLinePunct w:val="0"/>
        <w:autoSpaceDE/>
        <w:autoSpaceDN/>
        <w:bidi w:val="0"/>
        <w:adjustRightInd/>
        <w:snapToGrid/>
        <w:spacing w:before="240" w:after="240"/>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2023年度本年收入决算合计 85.41万元，其中：</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本年一般公共预算财政拨款收入 85.41万元，占 100.00%；</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本年政府性基金预算财政拨款收入 0.00万元，占 0.00%；</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本年国有资本经营预算财政拨款收入 0.00万元，占 0.00%；</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本年上级补助收入 0.00万元，占 0.00%；</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本年事业收入 0.00万元，占 0.00%；</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本年经营收入 0.00万元，占 0.00%；</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本年附属单位上缴收入 0.00万元，占 0.00%；</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本年其他收入 0.00万元，占 0.00%。</w:t>
      </w:r>
    </w:p>
    <w:p>
      <w:pPr>
        <w:widowControl/>
        <w:spacing w:before="240" w:after="240"/>
        <w:jc w:val="center"/>
        <w:rPr>
          <w:rFonts w:ascii="Times New Roman" w:hAnsi="Times New Roman" w:eastAsia="Times New Roman" w:cs="Times New Roman"/>
          <w:kern w:val="0"/>
          <w:sz w:val="24"/>
        </w:rPr>
      </w:pPr>
      <w:r>
        <w:drawing>
          <wp:inline distT="0" distB="0" distL="114300" distR="114300">
            <wp:extent cx="4826000" cy="2743200"/>
            <wp:effectExtent l="4445" t="4445" r="8255" b="14605"/>
            <wp:docPr id="4" name="图表 3"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center"/>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图1.收入决算图</w:t>
      </w:r>
    </w:p>
    <w:p>
      <w:pPr>
        <w:keepNext w:val="0"/>
        <w:keepLines w:val="0"/>
        <w:pageBreakBefore w:val="0"/>
        <w:widowControl/>
        <w:kinsoku/>
        <w:wordWrap/>
        <w:overflowPunct/>
        <w:topLinePunct w:val="0"/>
        <w:autoSpaceDE/>
        <w:autoSpaceDN/>
        <w:bidi w:val="0"/>
        <w:adjustRightInd/>
        <w:snapToGrid/>
        <w:spacing w:before="240" w:after="240"/>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2023年度本年支出决算合计 85.43万元，其中：</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本年基本支出 84.57万元，占 98.99%；</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本年项目支出 0.86万元，占 1.01%；</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本年上缴上级支出 0.00万元，占 0.00%；</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本年经营支出 0.00万元，占 0.00%；</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本年对附属单位补助支出 0.00万元，占 0.00%。</w:t>
      </w:r>
    </w:p>
    <w:p>
      <w:pPr>
        <w:widowControl/>
        <w:spacing w:before="240" w:after="240"/>
        <w:jc w:val="center"/>
        <w:rPr>
          <w:rFonts w:ascii="Times New Roman" w:hAnsi="Times New Roman" w:eastAsia="Times New Roman" w:cs="Times New Roman"/>
          <w:kern w:val="0"/>
          <w:sz w:val="24"/>
        </w:rPr>
      </w:pPr>
      <w:r>
        <w:drawing>
          <wp:inline distT="0" distB="0" distL="114300" distR="114300">
            <wp:extent cx="4826000" cy="2743200"/>
            <wp:effectExtent l="4445" t="4445" r="8255" b="14605"/>
            <wp:docPr id="2" name="图表 3"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center"/>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图2.支出决算图</w:t>
      </w:r>
    </w:p>
    <w:p>
      <w:pPr>
        <w:keepNext w:val="0"/>
        <w:keepLines w:val="0"/>
        <w:pageBreakBefore w:val="0"/>
        <w:widowControl/>
        <w:kinsoku/>
        <w:wordWrap/>
        <w:overflowPunct/>
        <w:topLinePunct w:val="0"/>
        <w:autoSpaceDE/>
        <w:autoSpaceDN/>
        <w:bidi w:val="0"/>
        <w:adjustRightInd/>
        <w:snapToGrid/>
        <w:spacing w:before="240" w:after="240" w:line="240" w:lineRule="auto"/>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2023年度财政拨款收入、支出决算总计 85.43万元，与年初预算相比，收、支总计各增加 2.38万元，增长 2.86%，变动原因：本年度业务活动增加，公用经费列支较年初预算增加；与上年决算相比，收、支总计各增加 28.74万元，增长50.71%，变动原因：本年度新增2人及人员工资正常晋级，相应人员经费较上年有所增加。</w:t>
      </w:r>
    </w:p>
    <w:p>
      <w:pPr>
        <w:keepNext w:val="0"/>
        <w:keepLines w:val="0"/>
        <w:pageBreakBefore w:val="0"/>
        <w:widowControl/>
        <w:kinsoku/>
        <w:wordWrap/>
        <w:overflowPunct/>
        <w:topLinePunct w:val="0"/>
        <w:autoSpaceDE/>
        <w:autoSpaceDN/>
        <w:bidi w:val="0"/>
        <w:adjustRightInd/>
        <w:snapToGrid/>
        <w:spacing w:before="240" w:after="240" w:line="240" w:lineRule="auto"/>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2023年度一般公共预算财政拨款支出决算 85.43万元。与年初预算 83.05万元相比，完成年初预算的 102.86%。其中：</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right="0" w:firstLine="640" w:firstLineChars="200"/>
        <w:jc w:val="both"/>
        <w:textAlignment w:val="baseline"/>
        <w:rPr>
          <w:rFonts w:ascii="仿宋" w:hAnsi="仿宋" w:eastAsia="仿宋" w:cs="仿宋"/>
          <w:spacing w:val="0"/>
          <w:position w:val="0"/>
          <w:sz w:val="32"/>
          <w:szCs w:val="32"/>
          <w14:textOutline w14:w="5103" w14:cap="sq" w14:cmpd="sng">
            <w14:solidFill>
              <w14:srgbClr w14:val="000000"/>
            </w14:solidFill>
            <w14:prstDash w14:val="solid"/>
            <w14:bevel/>
          </w14:textOutline>
        </w:rPr>
      </w:pPr>
      <w:r>
        <w:rPr>
          <w:rFonts w:ascii="仿宋" w:hAnsi="仿宋" w:eastAsia="仿宋" w:cs="仿宋"/>
          <w:spacing w:val="0"/>
          <w:position w:val="0"/>
          <w:sz w:val="32"/>
          <w:szCs w:val="32"/>
          <w14:textOutline w14:w="5103" w14:cap="sq" w14:cmpd="sng">
            <w14:solidFill>
              <w14:srgbClr w14:val="000000"/>
            </w14:solidFill>
            <w14:prstDash w14:val="solid"/>
            <w14:bevel/>
          </w14:textOutline>
        </w:rPr>
        <w:t>科学技术支出（类）</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科学技术支出类决算数为 65.49万元，与年初预算相比增加2.38万元。其中：</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1．科学技术普及（款）机构运行（项）。年初预算 63.11万元，决算支出65.49万元，完成年初预算的103.77%。决算数与年初预算数的差异原因：本年度新增2人，相应人员经费有所增加。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40" w:firstLineChars="200"/>
        <w:jc w:val="both"/>
        <w:textAlignment w:val="baseline"/>
        <w:rPr>
          <w:rFonts w:ascii="仿宋" w:hAnsi="仿宋" w:eastAsia="仿宋" w:cs="仿宋"/>
          <w:spacing w:val="0"/>
          <w:position w:val="0"/>
          <w:sz w:val="32"/>
          <w:szCs w:val="32"/>
          <w14:textOutline w14:w="5103" w14:cap="sq" w14:cmpd="sng">
            <w14:solidFill>
              <w14:srgbClr w14:val="000000"/>
            </w14:solidFill>
            <w14:prstDash w14:val="solid"/>
            <w14:bevel/>
          </w14:textOutline>
        </w:rPr>
      </w:pPr>
      <w:r>
        <w:rPr>
          <w:rFonts w:ascii="仿宋" w:hAnsi="仿宋" w:eastAsia="仿宋" w:cs="仿宋"/>
          <w:spacing w:val="0"/>
          <w:position w:val="0"/>
          <w:sz w:val="32"/>
          <w:szCs w:val="32"/>
          <w14:textOutline w14:w="5103" w14:cap="sq" w14:cmpd="sng">
            <w14:solidFill>
              <w14:srgbClr w14:val="000000"/>
            </w14:solidFill>
            <w14:prstDash w14:val="solid"/>
            <w14:bevel/>
          </w14:textOutline>
        </w:rPr>
        <w:t>（二）社会保障和就业支出（类）</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社会保障和就业支出类决算数为7.30万元，与年初预算相比减少0.07万元。其中：</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1．行政事业单位养老支出（款）机关事业单位基本养老保险缴费支出（项）。年初预算7.37万元，支出决算7.3万元，完成年初预算的99.05%。决算数与年初预算数的差异原因：预决算几乎无差异。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5103" w14:cap="sq" w14:cmpd="sng">
            <w14:solidFill>
              <w14:srgbClr w14:val="000000"/>
            </w14:solidFill>
            <w14:prstDash w14:val="solid"/>
            <w14:bevel/>
          </w14:textOutline>
        </w:rPr>
        <w:t>（三）卫生健康支出（类）</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卫生健康支出类决算数为4.20万元，与年初预算相比增加0.13万元。其中：</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1.行政事业单位医疗（款）事业单位医疗（项）。年初预算2.78万元，支出决算2.90万元，完成年初预算的 104.32%。决算数与年初预算数的差异原因：本年度新增2人及人员工资正常晋级，事业单位医疗保险相应增加。</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2．行政事业单位医疗（款）公务员医疗补助（项）。年初预算0.43万元，支出决算0.44万元，完成年初预算的 102.33%。决算数与年初预算数的差异原因：本年度新增2人及人员工资正常晋级，公务员医疗补助有所增加。</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3. 公共卫生（款）突发公共卫生事件应急处理（项）。年初预算0.86万元，支出决算0.86万元，完成年初预算的 100%。决算数与年初预算数的差异原因：本款项全部完成列支，预决算无差异。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40" w:firstLineChars="200"/>
        <w:jc w:val="both"/>
        <w:textAlignment w:val="baseline"/>
        <w:rPr>
          <w:rFonts w:ascii="仿宋" w:hAnsi="仿宋" w:eastAsia="仿宋" w:cs="仿宋"/>
          <w:spacing w:val="0"/>
          <w:position w:val="0"/>
          <w:sz w:val="32"/>
          <w:szCs w:val="32"/>
          <w14:textOutline w14:w="5103" w14:cap="sq" w14:cmpd="sng">
            <w14:solidFill>
              <w14:srgbClr w14:val="000000"/>
            </w14:solidFill>
            <w14:prstDash w14:val="solid"/>
            <w14:bevel/>
          </w14:textOutline>
        </w:rPr>
      </w:pPr>
      <w:r>
        <w:rPr>
          <w:rFonts w:ascii="仿宋" w:hAnsi="仿宋" w:eastAsia="仿宋" w:cs="仿宋"/>
          <w:spacing w:val="0"/>
          <w:position w:val="0"/>
          <w:sz w:val="32"/>
          <w:szCs w:val="32"/>
          <w14:textOutline w14:w="5103" w14:cap="sq" w14:cmpd="sng">
            <w14:solidFill>
              <w14:srgbClr w14:val="000000"/>
            </w14:solidFill>
            <w14:prstDash w14:val="solid"/>
            <w14:bevel/>
          </w14:textOutline>
        </w:rPr>
        <w:t>（四）住房保障支出（类）</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住房保障支出类决算数为8.44万元，与年初预算相比减少0.07万元。其中：</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1.住房改革支出（款）住房公积金（项）。年初预算7.05万元，支出决算6.84万元，完成年初预算的97.02%。决算数与年初预算数的差异原因：预决算几乎无差异。</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2.住房改革支出（款）购房补贴支出（项）。年初预算 1.46万元，支出决算1.6万元，完成年初预算的109.59%。决算数与年初预算数的差异原因：本年度新增2人，购房补贴支出有所增加。</w:t>
      </w:r>
    </w:p>
    <w:p>
      <w:pPr>
        <w:keepNext w:val="0"/>
        <w:keepLines w:val="0"/>
        <w:pageBreakBefore w:val="0"/>
        <w:widowControl/>
        <w:kinsoku/>
        <w:wordWrap/>
        <w:overflowPunct/>
        <w:topLinePunct w:val="0"/>
        <w:autoSpaceDE/>
        <w:autoSpaceDN/>
        <w:bidi w:val="0"/>
        <w:adjustRightInd/>
        <w:snapToGrid/>
        <w:spacing w:before="240" w:after="240" w:line="240" w:lineRule="auto"/>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2023年度一般公共预算财政拨款基本支出决算 84.57万元，其中：</w:t>
      </w:r>
    </w:p>
    <w:p>
      <w:pPr>
        <w:keepNext w:val="0"/>
        <w:keepLines w:val="0"/>
        <w:pageBreakBefore w:val="0"/>
        <w:widowControl/>
        <w:kinsoku/>
        <w:wordWrap/>
        <w:overflowPunct/>
        <w:topLinePunct w:val="0"/>
        <w:autoSpaceDE/>
        <w:autoSpaceDN/>
        <w:bidi w:val="0"/>
        <w:adjustRightInd/>
        <w:snapToGrid/>
        <w:spacing w:beforeAutospacing="0" w:afterAutospacing="0"/>
        <w:ind w:left="0" w:firstLine="643"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b/>
          <w:bCs/>
          <w:kern w:val="0"/>
          <w:sz w:val="32"/>
          <w:szCs w:val="32"/>
          <w:lang w:val="en-US" w:eastAsia="zh-CN"/>
        </w:rPr>
        <w:t>（一）人员经费 81.09万元。</w:t>
      </w:r>
      <w:r>
        <w:rPr>
          <w:rFonts w:hint="eastAsia" w:ascii="方正仿宋_GB2312" w:hAnsi="方正仿宋_GB2312" w:eastAsia="方正仿宋_GB2312" w:cs="方正仿宋_GB2312"/>
          <w:kern w:val="0"/>
          <w:sz w:val="32"/>
          <w:szCs w:val="32"/>
          <w:lang w:val="en-US" w:eastAsia="zh-CN"/>
        </w:rPr>
        <w:t>主要包括：基本工资21.9万元、津贴补贴9.80万元、奖金4.36万元、绩效工资17.60万元、机关事业单位基本养老保险缴费7.30万元、职工基本医疗保险缴费支出2.90万元、公务员医疗补助缴费支出0.44万元、其他社会保障缴费支出0.67万元、住房公积金6.84万元、其他工资福利支出9.28万元。</w:t>
      </w:r>
    </w:p>
    <w:p>
      <w:pPr>
        <w:keepNext w:val="0"/>
        <w:keepLines w:val="0"/>
        <w:pageBreakBefore w:val="0"/>
        <w:widowControl/>
        <w:kinsoku/>
        <w:wordWrap/>
        <w:overflowPunct/>
        <w:topLinePunct w:val="0"/>
        <w:autoSpaceDE/>
        <w:autoSpaceDN/>
        <w:bidi w:val="0"/>
        <w:adjustRightInd/>
        <w:snapToGrid/>
        <w:spacing w:beforeAutospacing="0" w:afterAutospacing="0"/>
        <w:ind w:left="0" w:firstLine="643"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b/>
          <w:bCs/>
          <w:kern w:val="0"/>
          <w:sz w:val="32"/>
          <w:szCs w:val="32"/>
          <w:lang w:val="en-US" w:eastAsia="zh-CN"/>
        </w:rPr>
        <w:t>（二）公用经费 3.48万元。</w:t>
      </w:r>
      <w:r>
        <w:rPr>
          <w:rFonts w:hint="eastAsia" w:ascii="方正仿宋_GB2312" w:hAnsi="方正仿宋_GB2312" w:eastAsia="方正仿宋_GB2312" w:cs="方正仿宋_GB2312"/>
          <w:kern w:val="0"/>
          <w:sz w:val="32"/>
          <w:szCs w:val="32"/>
          <w:lang w:val="en-US" w:eastAsia="zh-CN"/>
        </w:rPr>
        <w:t>主要包括：办公费0.33万元、手续费0.01万元、邮电费0.04万元、差旅费0.57万元、劳务费0.16万元、工会经费1.15万元、福利费0.92万元、其他商品和服务支出0.30万元。</w:t>
      </w:r>
    </w:p>
    <w:p>
      <w:pPr>
        <w:keepNext w:val="0"/>
        <w:keepLines w:val="0"/>
        <w:pageBreakBefore w:val="0"/>
        <w:widowControl/>
        <w:kinsoku/>
        <w:wordWrap/>
        <w:overflowPunct/>
        <w:topLinePunct w:val="0"/>
        <w:autoSpaceDE/>
        <w:autoSpaceDN/>
        <w:bidi w:val="0"/>
        <w:adjustRightInd/>
        <w:snapToGrid/>
        <w:spacing w:before="240" w:after="240" w:line="240" w:lineRule="auto"/>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一般公共预算财政拨款项目支出决算0万元。本年度使用包联（小区）疫情防控经费项目资金列支办公费。由于2022年底财政拨付该款时，本单位已用其他经费列支疫情防控费用，该款用于弥补2023年日常公用经费列支。</w:t>
      </w:r>
    </w:p>
    <w:p>
      <w:pPr>
        <w:keepNext w:val="0"/>
        <w:keepLines w:val="0"/>
        <w:pageBreakBefore w:val="0"/>
        <w:widowControl/>
        <w:kinsoku/>
        <w:wordWrap/>
        <w:overflowPunct/>
        <w:topLinePunct w:val="0"/>
        <w:autoSpaceDE/>
        <w:autoSpaceDN/>
        <w:bidi w:val="0"/>
        <w:adjustRightInd/>
        <w:snapToGrid/>
        <w:spacing w:before="240" w:after="240" w:line="240" w:lineRule="auto"/>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八、财政拨款“三公”经费支出决算情况说明</w:t>
      </w:r>
    </w:p>
    <w:p>
      <w:pPr>
        <w:keepNext w:val="0"/>
        <w:keepLines w:val="0"/>
        <w:pageBreakBefore w:val="0"/>
        <w:widowControl/>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kern w:val="0"/>
          <w:sz w:val="32"/>
          <w:szCs w:val="32"/>
        </w:rPr>
      </w:pPr>
      <w:r>
        <w:rPr>
          <w:rFonts w:hint="eastAsia" w:ascii="楷体" w:hAnsi="楷体" w:eastAsia="楷体" w:cs="楷体"/>
          <w:b/>
          <w:bCs/>
          <w:kern w:val="0"/>
          <w:sz w:val="32"/>
          <w:szCs w:val="32"/>
        </w:rPr>
        <w:t>（一）财政拨款“三公”经费支出总体情况说明。</w:t>
      </w:r>
    </w:p>
    <w:p>
      <w:pPr>
        <w:keepNext w:val="0"/>
        <w:keepLines w:val="0"/>
        <w:pageBreakBefore w:val="0"/>
        <w:widowControl/>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方正仿宋_GB2312" w:hAnsi="方正仿宋_GB2312" w:eastAsia="方正仿宋_GB2312" w:cs="方正仿宋_GB2312"/>
          <w:b/>
          <w:bCs/>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2023年度财政拨款“三公”经费全年预算 0.80万元，支出决算 0.00万元，完成预算的0%。其中：因公出国（境）费全年预算 0.00万元，支出决算 0.00万元，完成预算的 0%；公务用车购置及运行维护费全年预算 0.00万元，支出决算 0.00万元，完成预算的 0%；公务接待费全年预算 0.00万元，支出决算 0.00万元，完成预算的0%。</w:t>
      </w:r>
      <w:r>
        <w:rPr>
          <w:rFonts w:hint="eastAsia" w:ascii="方正仿宋_GB2312" w:hAnsi="方正仿宋_GB2312" w:eastAsia="方正仿宋_GB2312" w:cs="方正仿宋_GB2312"/>
          <w:b/>
          <w:bCs/>
          <w:kern w:val="0"/>
          <w:sz w:val="32"/>
          <w:szCs w:val="32"/>
          <w:lang w:val="en-US" w:eastAsia="zh-CN"/>
        </w:rPr>
        <w:t>2023年度财政拨款 “三公”经费支出决算与预算差异原因为我单位与主管部门合署办公，三公经费均由主管单位承担。</w:t>
      </w:r>
    </w:p>
    <w:p>
      <w:pPr>
        <w:keepNext w:val="0"/>
        <w:keepLines w:val="0"/>
        <w:pageBreakBefore w:val="0"/>
        <w:widowControl/>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二）财政拨款“三公”经费支出具体情况说明。</w:t>
      </w:r>
    </w:p>
    <w:p>
      <w:pPr>
        <w:keepNext w:val="0"/>
        <w:keepLines w:val="0"/>
        <w:pageBreakBefore w:val="0"/>
        <w:widowControl/>
        <w:wordWrap/>
        <w:overflowPunct/>
        <w:topLinePunct w:val="0"/>
        <w:bidi w:val="0"/>
        <w:spacing w:before="240" w:after="240" w:line="240" w:lineRule="auto"/>
        <w:ind w:left="0" w:leftChars="0" w:firstLine="540" w:firstLineChars="200"/>
        <w:rPr>
          <w:rFonts w:hint="eastAsia" w:ascii="方正仿宋_GB2312" w:hAnsi="方正仿宋_GB2312" w:eastAsia="方正仿宋_GB2312" w:cs="方正仿宋_GB2312"/>
          <w:kern w:val="0"/>
          <w:sz w:val="32"/>
          <w:szCs w:val="32"/>
          <w:lang w:val="en-US" w:eastAsia="zh-CN"/>
        </w:rPr>
      </w:pPr>
      <w:r>
        <w:rPr>
          <w:rFonts w:ascii="fang_song_gb2312" w:hAnsi="fang_song_gb2312" w:eastAsia="fang_song_gb2312" w:cs="fang_song_gb2312"/>
          <w:kern w:val="0"/>
          <w:sz w:val="27"/>
          <w:szCs w:val="27"/>
        </w:rPr>
        <w:t>   </w:t>
      </w:r>
      <w:r>
        <w:rPr>
          <w:rFonts w:hint="eastAsia" w:ascii="方正仿宋_GB2312" w:hAnsi="方正仿宋_GB2312" w:eastAsia="方正仿宋_GB2312" w:cs="方正仿宋_GB2312"/>
          <w:kern w:val="0"/>
          <w:sz w:val="32"/>
          <w:szCs w:val="32"/>
          <w:lang w:val="en-US" w:eastAsia="zh-CN"/>
        </w:rPr>
        <w:t xml:space="preserve"> 锡林郭勒盟科技教育和创新服务中心 2023年度财政拨款“三公”经费支出 0.00万元。</w:t>
      </w:r>
      <w:r>
        <w:rPr>
          <w:rFonts w:hint="eastAsia" w:ascii="方正仿宋_GB2312" w:hAnsi="方正仿宋_GB2312" w:eastAsia="方正仿宋_GB2312" w:cs="方正仿宋_GB2312"/>
          <w:b/>
          <w:bCs/>
          <w:kern w:val="0"/>
          <w:sz w:val="32"/>
          <w:szCs w:val="32"/>
          <w:lang w:val="en-US" w:eastAsia="zh-CN"/>
        </w:rPr>
        <w:t>本年度财政拨款“三公”经费全年预算数为0.80万元，由于我单位与主管部门合署办公，三公经费均由主管单位承担，故本单位本年度未支出财政拨款“三公”经费。</w:t>
      </w:r>
      <w:r>
        <w:rPr>
          <w:rFonts w:hint="eastAsia" w:ascii="方正仿宋_GB2312" w:hAnsi="方正仿宋_GB2312" w:eastAsia="方正仿宋_GB2312" w:cs="方正仿宋_GB2312"/>
          <w:kern w:val="0"/>
          <w:sz w:val="32"/>
          <w:szCs w:val="32"/>
          <w:lang w:val="en-US" w:eastAsia="zh-CN"/>
        </w:rPr>
        <w:t>因公出国（境）费支出 0.00万元，占 0%；公务用车购置及运行维护费支出 0.00万元，占 0%；公务接待费支出 0.00万元，占 0%。其中：</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1.因公出国（境）费支出0.00万元，全年出国（境）团组0个，累计0人次。与上年决算相比，增加0.00万元，增长0.00%，变动原因：我单位无因公出国费用。</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2.公务用车购置及运行维护费支出0.00万元。其中：</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（1）公务用车购置支出0.00万元。本年度使用财政拨款购置公务用车0辆。与上年决算相比，增加0.00万元，增长 0.00%，变动原因：我单位无公务用车。</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b/>
          <w:bCs/>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2）公务用车运行维护费支出0.00万元。公务用车运行维护费主要用于按规定保留的公务用车的燃料费、维修费、过桥过路费、保险费、安全奖励费用等支出。截至2023年12月31日，使用财政拨款开支的公务用车保有量为0辆。与上年决算相比，增加0.00万元，增长0.00%，</w:t>
      </w:r>
      <w:r>
        <w:rPr>
          <w:rFonts w:hint="eastAsia" w:ascii="方正仿宋_GB2312" w:hAnsi="方正仿宋_GB2312" w:eastAsia="方正仿宋_GB2312" w:cs="方正仿宋_GB2312"/>
          <w:b/>
          <w:bCs/>
          <w:kern w:val="0"/>
          <w:sz w:val="32"/>
          <w:szCs w:val="32"/>
          <w:lang w:val="en-US" w:eastAsia="zh-CN"/>
        </w:rPr>
        <w:t>变动原因：我单位无公务用车，且我单位与主管部门合署办公，三公经费均由主管单位承担。</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3.公务接待费支出0.00万元。其中：国内公务接待支出 0.00万元，接待0批次，0人次；国（境）外公务接待支出 0.00万元，接待0批次，0人次。与上年决算相比，增加 0.00万元，增长0.00%，变动原因：我单位与主管部门合署办公，公务接待费均由主管单位承担。</w:t>
      </w:r>
    </w:p>
    <w:p>
      <w:pPr>
        <w:keepNext w:val="0"/>
        <w:keepLines w:val="0"/>
        <w:pageBreakBefore w:val="0"/>
        <w:widowControl/>
        <w:kinsoku/>
        <w:wordWrap/>
        <w:overflowPunct/>
        <w:topLinePunct w:val="0"/>
        <w:autoSpaceDE/>
        <w:autoSpaceDN/>
        <w:bidi w:val="0"/>
        <w:adjustRightInd/>
        <w:snapToGrid/>
        <w:spacing w:before="240" w:after="240" w:line="240" w:lineRule="auto"/>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九、政府性基金预算财政拨款支出决算情况说明</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2023年度政府性基金预算财政拨款支出决算 0.00万元。与上年决算相比，增加 0.00万元，增长0%，变动原因：本年无政府性基金预算财政拨款收、支、余。</w:t>
      </w:r>
    </w:p>
    <w:p>
      <w:pPr>
        <w:keepNext w:val="0"/>
        <w:keepLines w:val="0"/>
        <w:pageBreakBefore w:val="0"/>
        <w:widowControl/>
        <w:kinsoku/>
        <w:wordWrap/>
        <w:overflowPunct/>
        <w:topLinePunct w:val="0"/>
        <w:autoSpaceDE/>
        <w:autoSpaceDN/>
        <w:bidi w:val="0"/>
        <w:adjustRightInd/>
        <w:snapToGrid/>
        <w:spacing w:before="240" w:after="240" w:line="240" w:lineRule="auto"/>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十、国有资本经营预算财政拨款支出决算情况说明</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2023年度国有资本经营预算财政拨款支出决算 0.00万元。与上年决算相比，增加 0.00万元，增长0%，变动原因：本年无国有资本经营预算财政拨款收、支、余。</w:t>
      </w:r>
    </w:p>
    <w:p>
      <w:pPr>
        <w:keepNext w:val="0"/>
        <w:keepLines w:val="0"/>
        <w:pageBreakBefore w:val="0"/>
        <w:widowControl/>
        <w:kinsoku/>
        <w:wordWrap/>
        <w:overflowPunct/>
        <w:topLinePunct w:val="0"/>
        <w:autoSpaceDE/>
        <w:autoSpaceDN/>
        <w:bidi w:val="0"/>
        <w:adjustRightInd/>
        <w:snapToGrid/>
        <w:spacing w:before="240" w:after="240" w:line="240" w:lineRule="auto"/>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十一、机构运行经费支出决算情况说明</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2023年度机构运行经费支出决算 3.48万元。比上年决算相比，增加1.31万元，增长 60.56%，变动原因：本年度新增2人，公用经费相应增加。</w:t>
      </w:r>
    </w:p>
    <w:p>
      <w:pPr>
        <w:keepNext w:val="0"/>
        <w:keepLines w:val="0"/>
        <w:pageBreakBefore w:val="0"/>
        <w:widowControl/>
        <w:kinsoku/>
        <w:wordWrap/>
        <w:overflowPunct/>
        <w:topLinePunct w:val="0"/>
        <w:autoSpaceDE/>
        <w:autoSpaceDN/>
        <w:bidi w:val="0"/>
        <w:adjustRightInd/>
        <w:snapToGrid/>
        <w:spacing w:before="240" w:after="240" w:line="240" w:lineRule="auto"/>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十二、政府采购支出决算情况说明</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2023年度政府采购支出总额 0.00万元，其中：政府采购货物支出 0.00万元、政府采购工程支出 0.00万元、政府采购服务支出 0.00万元。政府采购授予中小企业合同金额 0.00万元，占政府采购支出总额的0%，其中：授予小微企业合同金额  0.00万元，占政府采购支出总额的0%；货物采购授予中小企业合同金额占货物支出金额的0%，工程采购授予中小企业合同金额占工程支出金额的0%，服务采购授予中小企业合同金额占服务支出金额的0%。</w:t>
      </w:r>
    </w:p>
    <w:p>
      <w:pPr>
        <w:keepNext w:val="0"/>
        <w:keepLines w:val="0"/>
        <w:pageBreakBefore w:val="0"/>
        <w:widowControl/>
        <w:kinsoku/>
        <w:wordWrap/>
        <w:overflowPunct/>
        <w:topLinePunct w:val="0"/>
        <w:autoSpaceDE/>
        <w:autoSpaceDN/>
        <w:bidi w:val="0"/>
        <w:adjustRightInd/>
        <w:snapToGrid/>
        <w:spacing w:before="240" w:after="240" w:line="240" w:lineRule="auto"/>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十三、国有资产占用情况说明</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截至2023年12月31日，本单位共有车辆 0辆，其中：副部（省）级及以上领导用车0 辆、主要负责人用车 0辆、机要通信用车 0辆、应急保障用车 0辆、执法执勤用车 0辆、特种专业技术用车 0辆、离退休干部服务用车 0辆，其他用车 0辆；单价100万元（含）以上的设备（不含车辆） 0台（套）。</w:t>
      </w:r>
    </w:p>
    <w:p>
      <w:pPr>
        <w:keepNext w:val="0"/>
        <w:keepLines w:val="0"/>
        <w:pageBreakBefore w:val="0"/>
        <w:widowControl/>
        <w:kinsoku/>
        <w:wordWrap/>
        <w:overflowPunct/>
        <w:topLinePunct w:val="0"/>
        <w:autoSpaceDE/>
        <w:autoSpaceDN/>
        <w:bidi w:val="0"/>
        <w:adjustRightInd/>
        <w:snapToGrid/>
        <w:spacing w:before="240" w:after="240" w:line="240" w:lineRule="auto"/>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十四、预算绩效情况说明</w:t>
      </w:r>
    </w:p>
    <w:p>
      <w:pPr>
        <w:keepNext w:val="0"/>
        <w:keepLines w:val="0"/>
        <w:pageBreakBefore w:val="0"/>
        <w:widowControl/>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kern w:val="0"/>
          <w:sz w:val="32"/>
          <w:szCs w:val="32"/>
        </w:rPr>
      </w:pPr>
      <w:r>
        <w:rPr>
          <w:rFonts w:hint="eastAsia" w:ascii="楷体" w:hAnsi="楷体" w:eastAsia="楷体" w:cs="楷体"/>
          <w:b/>
          <w:bCs/>
          <w:kern w:val="0"/>
          <w:sz w:val="32"/>
          <w:szCs w:val="32"/>
        </w:rPr>
        <w:t>（一）预算绩效管理工作开展情况。</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锡林郭勒盟科技教育和创新服务中心 根据预算绩效管理要求组织对2023年一般公共预算项目支出全面开展绩效自评，其中一级项目0个，二级项目0个，共涉及资金0万元，占一般公共预算项目支出总额的0%；政府性基金预算项目0个，其中，一级项目0个，二级项目0个，共涉及资金0万元，占应纳入绩效自评的政府性基金预算项目支出总额的0%；</w:t>
      </w:r>
    </w:p>
    <w:p>
      <w:pPr>
        <w:keepNext w:val="0"/>
        <w:keepLines w:val="0"/>
        <w:pageBreakBefore w:val="0"/>
        <w:widowControl/>
        <w:wordWrap/>
        <w:overflowPunct/>
        <w:topLinePunct w:val="0"/>
        <w:bidi w:val="0"/>
        <w:spacing w:before="240" w:after="240" w:line="240" w:lineRule="auto"/>
        <w:ind w:left="0" w:leftChars="0" w:firstLine="640" w:firstLineChars="200"/>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组织对0个项目开展了单位评价，涉及一般公共预算支出0万元，政府性基金支出0万元。其中，对0个等项目分别委托相关第三方机构开展绩效评价。</w:t>
      </w:r>
    </w:p>
    <w:p>
      <w:pPr>
        <w:keepNext w:val="0"/>
        <w:keepLines w:val="0"/>
        <w:pageBreakBefore w:val="0"/>
        <w:widowControl/>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（二）单位决算中项目绩效自评结果。</w:t>
      </w:r>
    </w:p>
    <w:p>
      <w:pPr>
        <w:keepNext w:val="0"/>
        <w:keepLines w:val="0"/>
        <w:pageBreakBefore w:val="0"/>
        <w:widowControl/>
        <w:wordWrap/>
        <w:overflowPunct/>
        <w:topLinePunct w:val="0"/>
        <w:bidi w:val="0"/>
        <w:spacing w:before="240" w:after="240" w:line="240" w:lineRule="auto"/>
        <w:ind w:left="0" w:leftChars="0" w:firstLine="540" w:firstLineChars="200"/>
        <w:rPr>
          <w:rFonts w:hint="eastAsia" w:ascii="方正仿宋_GB2312" w:hAnsi="方正仿宋_GB2312" w:eastAsia="方正仿宋_GB2312" w:cs="方正仿宋_GB2312"/>
          <w:kern w:val="0"/>
          <w:sz w:val="32"/>
          <w:szCs w:val="32"/>
          <w:lang w:val="en-US" w:eastAsia="zh-CN"/>
        </w:rPr>
      </w:pPr>
      <w:r>
        <w:rPr>
          <w:rFonts w:ascii="fang_song_gb2312" w:hAnsi="fang_song_gb2312" w:eastAsia="fang_song_gb2312" w:cs="fang_song_gb2312"/>
          <w:kern w:val="0"/>
          <w:sz w:val="27"/>
          <w:szCs w:val="27"/>
        </w:rPr>
        <w:t xml:space="preserve">  </w:t>
      </w:r>
      <w:r>
        <w:rPr>
          <w:rFonts w:hint="eastAsia" w:ascii="方正仿宋_GB2312" w:hAnsi="方正仿宋_GB2312" w:eastAsia="方正仿宋_GB2312" w:cs="方正仿宋_GB2312"/>
          <w:kern w:val="0"/>
          <w:sz w:val="32"/>
          <w:szCs w:val="32"/>
          <w:lang w:val="en-US" w:eastAsia="zh-CN"/>
        </w:rPr>
        <w:t>  锡林郭勒盟科技教育和创新服务中心 2023年度在决算中反映0个一般公共预算项目，以及0个政府性基金项目，共0个项目的绩效自评结果。</w:t>
      </w:r>
    </w:p>
    <w:p>
      <w:pPr>
        <w:keepNext w:val="0"/>
        <w:keepLines w:val="0"/>
        <w:pageBreakBefore w:val="0"/>
        <w:widowControl/>
        <w:wordWrap/>
        <w:overflowPunct/>
        <w:topLinePunct w:val="0"/>
        <w:bidi w:val="0"/>
        <w:spacing w:before="240" w:after="240" w:line="240" w:lineRule="auto"/>
        <w:ind w:left="0" w:leftChars="0" w:firstLine="540" w:firstLineChars="20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（三）单位项目绩效评价结果。</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40" w:firstLineChars="200"/>
        <w:jc w:val="both"/>
        <w:textAlignment w:val="baseline"/>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本年度本单位无一般公共预算项目及政府性基金项目。</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pStyle w:val="5"/>
        <w:keepNext w:val="0"/>
        <w:keepLines w:val="0"/>
        <w:widowControl/>
        <w:spacing w:before="299" w:after="299" w:line="240" w:lineRule="auto"/>
        <w:jc w:val="center"/>
        <w:rPr>
          <w:rFonts w:ascii="fang_zheng_xiao_biao_song_ti" w:hAnsi="fang_zheng_xiao_biao_song_ti" w:eastAsia="fang_zheng_xiao_biao_song_ti" w:cs="fang_zheng_xiao_biao_song_ti"/>
          <w:kern w:val="0"/>
          <w:sz w:val="36"/>
          <w:szCs w:val="36"/>
        </w:rPr>
      </w:pPr>
      <w:r>
        <w:rPr>
          <w:rFonts w:ascii="fang_zheng_xiao_biao_song_ti" w:hAnsi="fang_zheng_xiao_biao_song_ti" w:eastAsia="fang_zheng_xiao_biao_song_ti" w:cs="fang_zheng_xiao_biao_song_ti"/>
          <w:kern w:val="0"/>
          <w:sz w:val="36"/>
          <w:szCs w:val="36"/>
        </w:rPr>
        <w:br w:type="page"/>
      </w:r>
    </w:p>
    <w:p>
      <w:pPr>
        <w:widowControl/>
        <w:spacing w:before="240" w:after="240"/>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第三部分  名词解释</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一、财政拨款收入：</w:t>
      </w:r>
      <w:r>
        <w:rPr>
          <w:rFonts w:hint="eastAsia" w:ascii="仿宋" w:hAnsi="仿宋" w:eastAsia="仿宋" w:cs="仿宋"/>
          <w:snapToGrid w:val="0"/>
          <w:color w:val="auto"/>
          <w:spacing w:val="0"/>
          <w:kern w:val="0"/>
          <w:position w:val="0"/>
          <w:sz w:val="32"/>
          <w:szCs w:val="32"/>
          <w:lang w:val="en-US" w:eastAsia="zh-CN" w:bidi="ar-SA"/>
        </w:rPr>
        <w:t>从同级财政部门取得的各类财政拨款，包括一般公共预算财政拨款、政府性基金预算财政拨款、国有资本经营预算财政拨款。</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二、上级补助收入：</w:t>
      </w:r>
      <w:r>
        <w:rPr>
          <w:rFonts w:hint="eastAsia" w:ascii="仿宋" w:hAnsi="仿宋" w:eastAsia="仿宋" w:cs="仿宋"/>
          <w:snapToGrid w:val="0"/>
          <w:color w:val="auto"/>
          <w:spacing w:val="0"/>
          <w:kern w:val="0"/>
          <w:position w:val="0"/>
          <w:sz w:val="32"/>
          <w:szCs w:val="32"/>
          <w:lang w:val="en-US" w:eastAsia="zh-CN" w:bidi="ar-SA"/>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三、财政专户管理教育收费：</w:t>
      </w:r>
      <w:r>
        <w:rPr>
          <w:rFonts w:hint="eastAsia" w:ascii="仿宋" w:hAnsi="仿宋" w:eastAsia="仿宋" w:cs="仿宋"/>
          <w:snapToGrid w:val="0"/>
          <w:color w:val="auto"/>
          <w:spacing w:val="0"/>
          <w:kern w:val="0"/>
          <w:position w:val="0"/>
          <w:sz w:val="32"/>
          <w:szCs w:val="32"/>
          <w:lang w:val="en-US" w:eastAsia="zh-CN" w:bidi="ar-SA"/>
        </w:rPr>
        <w:t>指缴入财政专户、实行专项管理的高中以上学费、住宿费、高校委托培养费、函大、电大、夜大及短训班培训费等教育收费。</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四、事业收入：</w:t>
      </w:r>
      <w:r>
        <w:rPr>
          <w:rFonts w:hint="eastAsia" w:ascii="仿宋" w:hAnsi="仿宋" w:eastAsia="仿宋" w:cs="仿宋"/>
          <w:snapToGrid w:val="0"/>
          <w:color w:val="auto"/>
          <w:spacing w:val="0"/>
          <w:kern w:val="0"/>
          <w:position w:val="0"/>
          <w:sz w:val="32"/>
          <w:szCs w:val="32"/>
          <w:lang w:val="en-US" w:eastAsia="zh-CN" w:bidi="ar-SA"/>
        </w:rPr>
        <w:t>指事业单位开展专业业务活动及其辅助活动取得的收入。</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五、经营收入：</w:t>
      </w:r>
      <w:r>
        <w:rPr>
          <w:rFonts w:hint="eastAsia" w:ascii="仿宋" w:hAnsi="仿宋" w:eastAsia="仿宋" w:cs="仿宋"/>
          <w:snapToGrid w:val="0"/>
          <w:color w:val="auto"/>
          <w:spacing w:val="0"/>
          <w:kern w:val="0"/>
          <w:position w:val="0"/>
          <w:sz w:val="32"/>
          <w:szCs w:val="32"/>
          <w:lang w:val="en-US" w:eastAsia="zh-CN" w:bidi="ar-SA"/>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六、附属单位上缴收入：</w:t>
      </w:r>
      <w:r>
        <w:rPr>
          <w:rFonts w:hint="eastAsia" w:ascii="仿宋" w:hAnsi="仿宋" w:eastAsia="仿宋" w:cs="仿宋"/>
          <w:snapToGrid w:val="0"/>
          <w:color w:val="auto"/>
          <w:spacing w:val="0"/>
          <w:kern w:val="0"/>
          <w:position w:val="0"/>
          <w:sz w:val="32"/>
          <w:szCs w:val="32"/>
          <w:lang w:val="en-US" w:eastAsia="zh-CN" w:bidi="ar-SA"/>
        </w:rPr>
        <w:t>指事业单位取得附属独立核算单位按照有关规定上缴的收入。</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七、其他收入：</w:t>
      </w:r>
      <w:r>
        <w:rPr>
          <w:rFonts w:hint="eastAsia" w:ascii="仿宋" w:hAnsi="仿宋" w:eastAsia="仿宋" w:cs="仿宋"/>
          <w:snapToGrid w:val="0"/>
          <w:color w:val="auto"/>
          <w:spacing w:val="0"/>
          <w:kern w:val="0"/>
          <w:position w:val="0"/>
          <w:sz w:val="32"/>
          <w:szCs w:val="32"/>
          <w:lang w:val="en-US" w:eastAsia="zh-CN" w:bidi="ar-SA"/>
        </w:rPr>
        <w:t>取得的除上述“财政拨款收入”、“上级补助收入”、“事业收入”、“经营收入”、“附属单位上缴收入”等以外的各项收入。</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 八、使用非财政拨款结余和专用结余：</w:t>
      </w:r>
      <w:r>
        <w:rPr>
          <w:rFonts w:hint="eastAsia" w:ascii="仿宋" w:hAnsi="仿宋" w:eastAsia="仿宋" w:cs="仿宋"/>
          <w:snapToGrid w:val="0"/>
          <w:color w:val="auto"/>
          <w:spacing w:val="0"/>
          <w:kern w:val="0"/>
          <w:position w:val="0"/>
          <w:sz w:val="32"/>
          <w:szCs w:val="32"/>
          <w:lang w:val="en-US" w:eastAsia="zh-CN" w:bidi="ar-SA"/>
        </w:rPr>
        <w:t>指事业单位按照预算管理要求使用非财政拨款结余和专用结余弥补当年收支差额的数额。</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九、年初结转和结余：</w:t>
      </w:r>
      <w:r>
        <w:rPr>
          <w:rFonts w:hint="eastAsia" w:ascii="仿宋" w:hAnsi="仿宋" w:eastAsia="仿宋" w:cs="仿宋"/>
          <w:snapToGrid w:val="0"/>
          <w:color w:val="auto"/>
          <w:spacing w:val="0"/>
          <w:kern w:val="0"/>
          <w:position w:val="0"/>
          <w:sz w:val="32"/>
          <w:szCs w:val="32"/>
          <w:lang w:val="en-US" w:eastAsia="zh-CN" w:bidi="ar-SA"/>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十、结余分配：</w:t>
      </w:r>
      <w:r>
        <w:rPr>
          <w:rFonts w:hint="eastAsia" w:ascii="仿宋" w:hAnsi="仿宋" w:eastAsia="仿宋" w:cs="仿宋"/>
          <w:snapToGrid w:val="0"/>
          <w:color w:val="auto"/>
          <w:spacing w:val="0"/>
          <w:kern w:val="0"/>
          <w:position w:val="0"/>
          <w:sz w:val="32"/>
          <w:szCs w:val="32"/>
          <w:lang w:val="en-US" w:eastAsia="zh-CN" w:bidi="ar-SA"/>
        </w:rPr>
        <w:t>指事业单位按规定缴纳企业所得税以及从非财政拨款结余或经营结余中提取各类结余的情况。</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十一、年末结转和结余资金：</w:t>
      </w:r>
      <w:r>
        <w:rPr>
          <w:rFonts w:hint="eastAsia" w:ascii="仿宋" w:hAnsi="仿宋" w:eastAsia="仿宋" w:cs="仿宋"/>
          <w:snapToGrid w:val="0"/>
          <w:color w:val="auto"/>
          <w:spacing w:val="0"/>
          <w:kern w:val="0"/>
          <w:position w:val="0"/>
          <w:sz w:val="32"/>
          <w:szCs w:val="32"/>
          <w:lang w:val="en-US" w:eastAsia="zh-CN" w:bidi="ar-SA"/>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十二、基本支出：</w:t>
      </w:r>
      <w:r>
        <w:rPr>
          <w:rFonts w:hint="eastAsia" w:ascii="仿宋" w:hAnsi="仿宋" w:eastAsia="仿宋" w:cs="仿宋"/>
          <w:snapToGrid w:val="0"/>
          <w:color w:val="auto"/>
          <w:spacing w:val="0"/>
          <w:kern w:val="0"/>
          <w:position w:val="0"/>
          <w:sz w:val="32"/>
          <w:szCs w:val="32"/>
          <w:lang w:val="en-US" w:eastAsia="zh-CN" w:bidi="ar-SA"/>
        </w:rPr>
        <w:t>指为保障机构正常运转、完成日常工作任务所发生的支出，包括人员经费和公用经费。</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十三、项目支出：</w:t>
      </w:r>
      <w:r>
        <w:rPr>
          <w:rFonts w:hint="eastAsia" w:ascii="仿宋" w:hAnsi="仿宋" w:eastAsia="仿宋" w:cs="仿宋"/>
          <w:snapToGrid w:val="0"/>
          <w:color w:val="auto"/>
          <w:spacing w:val="0"/>
          <w:kern w:val="0"/>
          <w:position w:val="0"/>
          <w:sz w:val="32"/>
          <w:szCs w:val="32"/>
          <w:lang w:val="en-US" w:eastAsia="zh-CN" w:bidi="ar-SA"/>
        </w:rPr>
        <w:t>指在为完成特定的工作任务和事业发展目标所发生的支出。</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十四、上缴上级支出：</w:t>
      </w:r>
      <w:r>
        <w:rPr>
          <w:rFonts w:hint="eastAsia" w:ascii="仿宋" w:hAnsi="仿宋" w:eastAsia="仿宋" w:cs="仿宋"/>
          <w:snapToGrid w:val="0"/>
          <w:color w:val="auto"/>
          <w:spacing w:val="0"/>
          <w:kern w:val="0"/>
          <w:position w:val="0"/>
          <w:sz w:val="32"/>
          <w:szCs w:val="32"/>
          <w:lang w:val="en-US" w:eastAsia="zh-CN" w:bidi="ar-SA"/>
        </w:rPr>
        <w:t>指事业单位按照财政部门和主管部门的规定上缴上级单位的支出。</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十五、经营支出：</w:t>
      </w:r>
      <w:r>
        <w:rPr>
          <w:rFonts w:hint="eastAsia" w:ascii="仿宋" w:hAnsi="仿宋" w:eastAsia="仿宋" w:cs="仿宋"/>
          <w:snapToGrid w:val="0"/>
          <w:color w:val="auto"/>
          <w:spacing w:val="0"/>
          <w:kern w:val="0"/>
          <w:position w:val="0"/>
          <w:sz w:val="32"/>
          <w:szCs w:val="32"/>
          <w:lang w:val="en-US" w:eastAsia="zh-CN" w:bidi="ar-SA"/>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十六、对附属单位补助支出：</w:t>
      </w:r>
      <w:r>
        <w:rPr>
          <w:rFonts w:hint="eastAsia" w:ascii="仿宋" w:hAnsi="仿宋" w:eastAsia="仿宋" w:cs="仿宋"/>
          <w:snapToGrid w:val="0"/>
          <w:color w:val="auto"/>
          <w:spacing w:val="0"/>
          <w:kern w:val="0"/>
          <w:position w:val="0"/>
          <w:sz w:val="32"/>
          <w:szCs w:val="32"/>
          <w:lang w:val="en-US" w:eastAsia="zh-CN" w:bidi="ar-SA"/>
        </w:rPr>
        <w:t>指事业单位用财政拨款收入之外的收入对附属单位补助发生的支出。</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十七、“三公”经费：</w:t>
      </w:r>
      <w:r>
        <w:rPr>
          <w:rFonts w:hint="eastAsia" w:ascii="仿宋" w:hAnsi="仿宋" w:eastAsia="仿宋" w:cs="仿宋"/>
          <w:snapToGrid w:val="0"/>
          <w:color w:val="auto"/>
          <w:spacing w:val="0"/>
          <w:kern w:val="0"/>
          <w:position w:val="0"/>
          <w:sz w:val="32"/>
          <w:szCs w:val="32"/>
          <w:lang w:val="en-US" w:eastAsia="zh-CN" w:bidi="ar-SA"/>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b/>
          <w:bCs/>
          <w:snapToGrid w:val="0"/>
          <w:color w:val="auto"/>
          <w:spacing w:val="0"/>
          <w:kern w:val="0"/>
          <w:position w:val="0"/>
          <w:sz w:val="32"/>
          <w:szCs w:val="32"/>
          <w:lang w:val="en-US" w:eastAsia="zh-CN" w:bidi="ar-SA"/>
        </w:rPr>
        <w:t>十八、机构运行经费：</w:t>
      </w:r>
      <w:r>
        <w:rPr>
          <w:rFonts w:hint="eastAsia" w:ascii="仿宋" w:hAnsi="仿宋" w:eastAsia="仿宋" w:cs="仿宋"/>
          <w:snapToGrid w:val="0"/>
          <w:color w:val="auto"/>
          <w:spacing w:val="0"/>
          <w:kern w:val="0"/>
          <w:position w:val="0"/>
          <w:sz w:val="32"/>
          <w:szCs w:val="32"/>
          <w:lang w:val="en-US" w:eastAsia="zh-CN" w:bidi="ar-SA"/>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p>
    <w:p>
      <w:pPr>
        <w:widowControl/>
        <w:spacing w:before="240" w:after="240"/>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adjustRightInd/>
        <w:snapToGrid/>
        <w:ind w:firstLine="540"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ascii="fang_song_gb2312" w:hAnsi="fang_song_gb2312" w:eastAsia="fang_song_gb2312" w:cs="fang_song_gb2312"/>
          <w:kern w:val="0"/>
          <w:sz w:val="27"/>
          <w:szCs w:val="27"/>
        </w:rPr>
        <w:t xml:space="preserve">  </w:t>
      </w:r>
      <w:r>
        <w:rPr>
          <w:rFonts w:hint="eastAsia" w:ascii="仿宋" w:hAnsi="仿宋" w:eastAsia="仿宋" w:cs="仿宋"/>
          <w:snapToGrid w:val="0"/>
          <w:color w:val="auto"/>
          <w:spacing w:val="0"/>
          <w:kern w:val="0"/>
          <w:position w:val="0"/>
          <w:sz w:val="32"/>
          <w:szCs w:val="32"/>
          <w:lang w:val="en-US" w:eastAsia="zh-CN" w:bidi="ar-SA"/>
        </w:rPr>
        <w:t>  本单位决算公开信息反馈和联系方式：</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napToGrid w:val="0"/>
          <w:color w:val="auto"/>
          <w:spacing w:val="0"/>
          <w:kern w:val="0"/>
          <w:position w:val="0"/>
          <w:sz w:val="32"/>
          <w:szCs w:val="32"/>
          <w:lang w:val="en-US" w:eastAsia="zh-CN" w:bidi="ar-SA"/>
        </w:rPr>
      </w:pPr>
      <w:r>
        <w:rPr>
          <w:rFonts w:hint="eastAsia" w:ascii="仿宋" w:hAnsi="仿宋" w:eastAsia="仿宋" w:cs="仿宋"/>
          <w:snapToGrid w:val="0"/>
          <w:color w:val="auto"/>
          <w:spacing w:val="0"/>
          <w:kern w:val="0"/>
          <w:position w:val="0"/>
          <w:sz w:val="32"/>
          <w:szCs w:val="32"/>
          <w:lang w:val="en-US" w:eastAsia="zh-CN" w:bidi="ar-SA"/>
        </w:rPr>
        <w:t>    联系人：徐丽丽           联系电话：0479-8238840 </w:t>
      </w:r>
    </w:p>
    <w:bookmarkEnd w:id="0"/>
    <w:p>
      <w:pPr>
        <w:keepNext w:val="0"/>
        <w:keepLines w:val="0"/>
        <w:pageBreakBefore w:val="0"/>
        <w:widowControl/>
        <w:kinsoku/>
        <w:wordWrap/>
        <w:overflowPunct/>
        <w:topLinePunct w:val="0"/>
        <w:autoSpaceDE/>
        <w:autoSpaceDN/>
        <w:bidi w:val="0"/>
        <w:adjustRightInd/>
        <w:snapToGrid/>
        <w:jc w:val="left"/>
        <w:textAlignment w:val="auto"/>
        <w:sectPr>
          <w:footerReference r:id="rId4" w:type="default"/>
          <w:pgSz w:w="11906" w:h="16838"/>
          <w:pgMar w:top="1440" w:right="1083" w:bottom="1440" w:left="1083" w:header="0" w:footer="720" w:gutter="0"/>
          <w:cols w:space="425" w:num="1"/>
          <w:docGrid w:type="lines" w:linePitch="312" w:charSpace="0"/>
        </w:sectPr>
      </w:pPr>
    </w:p>
    <w:p>
      <w:pPr>
        <w:pStyle w:val="2"/>
        <w:numPr>
          <w:ilvl w:val="0"/>
          <w:numId w:val="2"/>
        </w:numPr>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单位决算表</w:t>
      </w:r>
    </w:p>
    <w:tbl>
      <w:tblPr>
        <w:tblStyle w:val="2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98"/>
        <w:gridCol w:w="629"/>
        <w:gridCol w:w="3092"/>
        <w:gridCol w:w="3154"/>
        <w:gridCol w:w="865"/>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3988" w:type="dxa"/>
            <w:gridSpan w:val="6"/>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3727" w:type="dxa"/>
            <w:gridSpan w:val="2"/>
            <w:shd w:val="clear" w:color="auto" w:fill="auto"/>
            <w:vAlign w:val="center"/>
          </w:tcPr>
          <w:p>
            <w:pPr>
              <w:rPr>
                <w:rFonts w:hint="eastAsia" w:ascii="宋体" w:hAnsi="宋体" w:eastAsia="宋体" w:cs="宋体"/>
                <w:i w:val="0"/>
                <w:color w:val="000000"/>
                <w:sz w:val="22"/>
                <w:szCs w:val="22"/>
                <w:u w:val="none"/>
              </w:rPr>
            </w:pPr>
          </w:p>
        </w:tc>
        <w:tc>
          <w:tcPr>
            <w:tcW w:w="3092" w:type="dxa"/>
            <w:shd w:val="clear" w:color="auto" w:fill="auto"/>
            <w:vAlign w:val="center"/>
          </w:tcPr>
          <w:p>
            <w:pPr>
              <w:rPr>
                <w:rFonts w:hint="eastAsia" w:ascii="宋体" w:hAnsi="宋体" w:eastAsia="宋体" w:cs="宋体"/>
                <w:i w:val="0"/>
                <w:color w:val="000000"/>
                <w:sz w:val="22"/>
                <w:szCs w:val="22"/>
                <w:u w:val="none"/>
              </w:rPr>
            </w:pPr>
          </w:p>
        </w:tc>
        <w:tc>
          <w:tcPr>
            <w:tcW w:w="3154" w:type="dxa"/>
            <w:shd w:val="clear" w:color="auto" w:fill="auto"/>
            <w:vAlign w:val="center"/>
          </w:tcPr>
          <w:p>
            <w:pPr>
              <w:rPr>
                <w:rFonts w:hint="eastAsia" w:ascii="宋体" w:hAnsi="宋体" w:eastAsia="宋体" w:cs="宋体"/>
                <w:i w:val="0"/>
                <w:color w:val="000000"/>
                <w:sz w:val="22"/>
                <w:szCs w:val="22"/>
                <w:u w:val="none"/>
              </w:rPr>
            </w:pPr>
          </w:p>
        </w:tc>
        <w:tc>
          <w:tcPr>
            <w:tcW w:w="865" w:type="dxa"/>
            <w:shd w:val="clear" w:color="auto" w:fill="auto"/>
            <w:vAlign w:val="center"/>
          </w:tcPr>
          <w:p>
            <w:pPr>
              <w:rPr>
                <w:rFonts w:hint="eastAsia" w:ascii="宋体" w:hAnsi="宋体" w:eastAsia="宋体" w:cs="宋体"/>
                <w:i w:val="0"/>
                <w:color w:val="000000"/>
                <w:sz w:val="22"/>
                <w:szCs w:val="22"/>
                <w:u w:val="none"/>
              </w:rPr>
            </w:pPr>
          </w:p>
        </w:tc>
        <w:tc>
          <w:tcPr>
            <w:tcW w:w="3150"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6819" w:type="dxa"/>
            <w:gridSpan w:val="3"/>
            <w:shd w:val="clear" w:color="auto" w:fill="auto"/>
            <w:vAlign w:val="center"/>
          </w:tcPr>
          <w:p>
            <w:pP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4"/>
                <w:szCs w:val="24"/>
                <w:u w:val="none"/>
                <w:lang w:val="en-US" w:eastAsia="zh-CN" w:bidi="ar"/>
              </w:rPr>
              <w:t>编制单位：锡林郭勒盟科技教育和创新服务中心</w:t>
            </w:r>
          </w:p>
        </w:tc>
        <w:tc>
          <w:tcPr>
            <w:tcW w:w="3154"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865" w:type="dxa"/>
            <w:shd w:val="clear" w:color="auto" w:fill="auto"/>
            <w:vAlign w:val="center"/>
          </w:tcPr>
          <w:p>
            <w:pPr>
              <w:rPr>
                <w:rFonts w:hint="eastAsia" w:ascii="宋体" w:hAnsi="宋体" w:eastAsia="宋体" w:cs="宋体"/>
                <w:i w:val="0"/>
                <w:color w:val="000000"/>
                <w:sz w:val="22"/>
                <w:szCs w:val="22"/>
                <w:u w:val="none"/>
              </w:rPr>
            </w:pPr>
          </w:p>
        </w:tc>
        <w:tc>
          <w:tcPr>
            <w:tcW w:w="3150"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收入</w:t>
            </w:r>
          </w:p>
        </w:tc>
        <w:tc>
          <w:tcPr>
            <w:tcW w:w="7169"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项目</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行次</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项目</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行次</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629"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865"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一、一般公共预算财政拨款收入</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85.41</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一、一般公共服务支出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二、政府性基金预算财政拨款收入</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二、外交支出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三、国有资本经营预算财政拨款收入</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三、国防支出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34</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四、上级补助收入</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四、公共安全支出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35</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五、事业收入</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五、教育支出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36</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六、经营收入</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六、科学技术支出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37</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七、附属单位上缴收入</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七、文化旅游体育与传媒支出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38</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八、其他收入</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八、社会保障和就业支出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九、卫生健康支出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40</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十、节能环保支出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41</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十一、城乡社区支出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十二、农林水支出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十三、交通运输支出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44</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14</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十四、资源勘探工业信息等支出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45</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十五、商业服务业等支出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46</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十六、金融支出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47</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十七、援助其他地区支出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十八、自然资源海洋气象等支出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49</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19</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十九、住房保障支出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50</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二十、粮油物资储备支出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51</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二十一、国有资本经营预算支出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52</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二十二、灾害防治及应急管理支出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53</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23</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二十三、其他支出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54</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24</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二十四、债务还本支出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55</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25</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二十五、债务付息支出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56</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26</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二十六、抗疫特别国债安排的支出</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57</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本年收入合计</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27</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85.41</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本年支出合计</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58</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使用非财政拨款结余和专用结余</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结余分配</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59</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年初结转和结余</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0.02</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年末结转和结余</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60</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w:t>
            </w:r>
          </w:p>
        </w:tc>
        <w:tc>
          <w:tcPr>
            <w:tcW w:w="3092"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154" w:type="dxa"/>
            <w:tcBorders>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61</w:t>
            </w:r>
          </w:p>
        </w:tc>
        <w:tc>
          <w:tcPr>
            <w:tcW w:w="3150"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总计</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w:t>
            </w:r>
          </w:p>
        </w:tc>
        <w:tc>
          <w:tcPr>
            <w:tcW w:w="309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85.43</w:t>
            </w:r>
          </w:p>
        </w:tc>
        <w:tc>
          <w:tcPr>
            <w:tcW w:w="31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总计</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62</w:t>
            </w:r>
          </w:p>
        </w:tc>
        <w:tc>
          <w:tcPr>
            <w:tcW w:w="31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3988" w:type="dxa"/>
            <w:gridSpan w:val="6"/>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988" w:type="dxa"/>
            <w:gridSpan w:val="6"/>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2.本套报表金额单位转换时可能存在尾数误差。</w:t>
            </w:r>
          </w:p>
        </w:tc>
      </w:tr>
    </w:tbl>
    <w:p>
      <w:pPr>
        <w:numPr>
          <w:ilvl w:val="0"/>
          <w:numId w:val="0"/>
        </w:numPr>
        <w:sectPr>
          <w:pgSz w:w="16838" w:h="11906" w:orient="landscape"/>
          <w:pgMar w:top="1083" w:right="1440" w:bottom="1083" w:left="1440" w:header="0" w:footer="720" w:gutter="0"/>
          <w:cols w:space="425" w:num="1"/>
          <w:docGrid w:type="lines" w:linePitch="312" w:charSpace="0"/>
        </w:sectPr>
      </w:pPr>
    </w:p>
    <w:tbl>
      <w:tblPr>
        <w:tblStyle w:val="2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5"/>
        <w:gridCol w:w="3069"/>
        <w:gridCol w:w="1351"/>
        <w:gridCol w:w="836"/>
        <w:gridCol w:w="836"/>
        <w:gridCol w:w="837"/>
        <w:gridCol w:w="835"/>
        <w:gridCol w:w="833"/>
        <w:gridCol w:w="834"/>
        <w:gridCol w:w="835"/>
        <w:gridCol w:w="833"/>
        <w:gridCol w:w="834"/>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3988" w:type="dxa"/>
            <w:gridSpan w:val="13"/>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3988" w:type="dxa"/>
            <w:gridSpan w:val="13"/>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695" w:type="dxa"/>
            <w:gridSpan w:val="3"/>
            <w:shd w:val="clear" w:color="auto" w:fill="auto"/>
            <w:vAlign w:val="center"/>
          </w:tcPr>
          <w:p>
            <w:pP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4"/>
                <w:szCs w:val="24"/>
                <w:u w:val="none"/>
                <w:lang w:val="en-US" w:eastAsia="zh-CN" w:bidi="ar"/>
              </w:rPr>
              <w:t>编制单位：锡林郭勒盟科技教育和创新服务中心</w:t>
            </w:r>
          </w:p>
        </w:tc>
        <w:tc>
          <w:tcPr>
            <w:tcW w:w="2509" w:type="dxa"/>
            <w:gridSpan w:val="3"/>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835" w:type="dxa"/>
            <w:shd w:val="clear" w:color="auto" w:fill="auto"/>
            <w:vAlign w:val="center"/>
          </w:tcPr>
          <w:p>
            <w:pPr>
              <w:rPr>
                <w:rFonts w:hint="eastAsia" w:ascii="宋体" w:hAnsi="宋体" w:eastAsia="宋体" w:cs="宋体"/>
                <w:i w:val="0"/>
                <w:color w:val="000000"/>
                <w:sz w:val="22"/>
                <w:szCs w:val="22"/>
                <w:u w:val="none"/>
              </w:rPr>
            </w:pPr>
          </w:p>
        </w:tc>
        <w:tc>
          <w:tcPr>
            <w:tcW w:w="4949" w:type="dxa"/>
            <w:gridSpan w:val="6"/>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1351"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本年收入合计</w:t>
            </w:r>
          </w:p>
        </w:tc>
        <w:tc>
          <w:tcPr>
            <w:tcW w:w="3344"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财政拨款收入</w:t>
            </w:r>
          </w:p>
        </w:tc>
        <w:tc>
          <w:tcPr>
            <w:tcW w:w="833"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上级补助收入</w:t>
            </w:r>
          </w:p>
        </w:tc>
        <w:tc>
          <w:tcPr>
            <w:tcW w:w="1669"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事业收入</w:t>
            </w:r>
          </w:p>
        </w:tc>
        <w:tc>
          <w:tcPr>
            <w:tcW w:w="833"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经营收入</w:t>
            </w:r>
          </w:p>
        </w:tc>
        <w:tc>
          <w:tcPr>
            <w:tcW w:w="83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附属单位上缴收入</w:t>
            </w:r>
          </w:p>
        </w:tc>
        <w:tc>
          <w:tcPr>
            <w:tcW w:w="78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支出功能分类科目代码</w:t>
            </w:r>
          </w:p>
        </w:tc>
        <w:tc>
          <w:tcPr>
            <w:tcW w:w="3069"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35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6"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小计</w:t>
            </w:r>
          </w:p>
        </w:tc>
        <w:tc>
          <w:tcPr>
            <w:tcW w:w="250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其中：</w:t>
            </w:r>
          </w:p>
        </w:tc>
        <w:tc>
          <w:tcPr>
            <w:tcW w:w="83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小计</w:t>
            </w:r>
          </w:p>
        </w:tc>
        <w:tc>
          <w:tcPr>
            <w:tcW w:w="83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其中：教育收费</w:t>
            </w:r>
          </w:p>
        </w:tc>
        <w:tc>
          <w:tcPr>
            <w:tcW w:w="83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7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069"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35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6"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6"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一般公共预算财政拨款</w:t>
            </w:r>
          </w:p>
        </w:tc>
        <w:tc>
          <w:tcPr>
            <w:tcW w:w="83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政府性基金预算财政拨款</w:t>
            </w:r>
          </w:p>
        </w:tc>
        <w:tc>
          <w:tcPr>
            <w:tcW w:w="83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国有资本经营预算财政拨款</w:t>
            </w:r>
          </w:p>
        </w:tc>
        <w:tc>
          <w:tcPr>
            <w:tcW w:w="83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4"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5"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7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069"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35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6"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6"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7"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5"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4"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5"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3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7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4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83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83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83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c>
          <w:tcPr>
            <w:tcW w:w="8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w:t>
            </w:r>
          </w:p>
        </w:tc>
        <w:tc>
          <w:tcPr>
            <w:tcW w:w="83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83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w:t>
            </w:r>
          </w:p>
        </w:tc>
        <w:tc>
          <w:tcPr>
            <w:tcW w:w="8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w:t>
            </w:r>
          </w:p>
        </w:tc>
        <w:tc>
          <w:tcPr>
            <w:tcW w:w="7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4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85.41</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85.41</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85.41</w:t>
            </w:r>
          </w:p>
        </w:tc>
        <w:tc>
          <w:tcPr>
            <w:tcW w:w="8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206</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科学技术支出</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65.48</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65.48</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65.48</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20607</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科学技术普及</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65.48</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65.48</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65.48</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2060701</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机构运行</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65.48</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65.48</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65.48</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社会保障和就业支出</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行政事业单位养老支出</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2080505</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机关事业单位基本养老保险缴费支出</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卫生健康支出</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4.20</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公共卫生</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2100410</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突发公共卫生事件应急处理</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行政事业单位医疗</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3.34</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3.34</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3.34</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2101102</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事业单位医疗</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2.90</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2101103</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公务员医疗补助</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0.44</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0.44</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0.44</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住房保障支出</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住房改革支出</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2210201</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住房公积金</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6.84</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6.84</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6.84</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2210203</w:t>
            </w:r>
          </w:p>
        </w:tc>
        <w:tc>
          <w:tcPr>
            <w:tcW w:w="30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购房补贴</w:t>
            </w:r>
          </w:p>
        </w:tc>
        <w:tc>
          <w:tcPr>
            <w:tcW w:w="13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1.60</w:t>
            </w:r>
          </w:p>
        </w:tc>
        <w:tc>
          <w:tcPr>
            <w:tcW w:w="8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1.60</w:t>
            </w:r>
          </w:p>
        </w:tc>
        <w:tc>
          <w:tcPr>
            <w:tcW w:w="83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0"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bl>
    <w:p>
      <w:pPr>
        <w:pStyle w:val="2"/>
        <w:sectPr>
          <w:pgSz w:w="16838" w:h="11906" w:orient="landscape"/>
          <w:pgMar w:top="1083" w:right="1440" w:bottom="1083" w:left="1440" w:header="0" w:footer="720" w:gutter="0"/>
          <w:cols w:space="425" w:num="1"/>
          <w:docGrid w:type="lines" w:linePitch="312" w:charSpace="0"/>
        </w:sectPr>
      </w:pPr>
    </w:p>
    <w:tbl>
      <w:tblPr>
        <w:tblStyle w:val="2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4"/>
        <w:gridCol w:w="41"/>
        <w:gridCol w:w="49"/>
        <w:gridCol w:w="5414"/>
        <w:gridCol w:w="1835"/>
        <w:gridCol w:w="1039"/>
        <w:gridCol w:w="1035"/>
        <w:gridCol w:w="1034"/>
        <w:gridCol w:w="1036"/>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3988" w:type="dxa"/>
            <w:gridSpan w:val="10"/>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514" w:type="dxa"/>
            <w:shd w:val="clear" w:color="auto" w:fill="auto"/>
            <w:vAlign w:val="center"/>
          </w:tcPr>
          <w:p>
            <w:pPr>
              <w:rPr>
                <w:rFonts w:hint="eastAsia" w:ascii="宋体" w:hAnsi="宋体" w:eastAsia="宋体" w:cs="宋体"/>
                <w:i w:val="0"/>
                <w:color w:val="000000"/>
                <w:sz w:val="22"/>
                <w:szCs w:val="22"/>
                <w:u w:val="none"/>
              </w:rPr>
            </w:pPr>
          </w:p>
        </w:tc>
        <w:tc>
          <w:tcPr>
            <w:tcW w:w="90" w:type="dxa"/>
            <w:gridSpan w:val="2"/>
            <w:shd w:val="clear" w:color="auto" w:fill="auto"/>
            <w:vAlign w:val="center"/>
          </w:tcPr>
          <w:p>
            <w:pPr>
              <w:rPr>
                <w:rFonts w:hint="eastAsia" w:ascii="宋体" w:hAnsi="宋体" w:eastAsia="宋体" w:cs="宋体"/>
                <w:i w:val="0"/>
                <w:color w:val="000000"/>
                <w:sz w:val="22"/>
                <w:szCs w:val="22"/>
                <w:u w:val="none"/>
              </w:rPr>
            </w:pPr>
          </w:p>
        </w:tc>
        <w:tc>
          <w:tcPr>
            <w:tcW w:w="5414" w:type="dxa"/>
            <w:shd w:val="clear" w:color="auto" w:fill="auto"/>
            <w:vAlign w:val="center"/>
          </w:tcPr>
          <w:p>
            <w:pPr>
              <w:rPr>
                <w:rFonts w:hint="eastAsia" w:ascii="宋体" w:hAnsi="宋体" w:eastAsia="宋体" w:cs="宋体"/>
                <w:i w:val="0"/>
                <w:color w:val="000000"/>
                <w:sz w:val="22"/>
                <w:szCs w:val="22"/>
                <w:u w:val="none"/>
              </w:rPr>
            </w:pPr>
          </w:p>
        </w:tc>
        <w:tc>
          <w:tcPr>
            <w:tcW w:w="6970" w:type="dxa"/>
            <w:gridSpan w:val="6"/>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18" w:type="dxa"/>
            <w:gridSpan w:val="4"/>
            <w:shd w:val="clear" w:color="auto" w:fill="auto"/>
            <w:vAlign w:val="center"/>
          </w:tcPr>
          <w:p>
            <w:pP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4"/>
                <w:szCs w:val="24"/>
                <w:u w:val="none"/>
                <w:lang w:val="en-US" w:eastAsia="zh-CN" w:bidi="ar"/>
              </w:rPr>
              <w:t>编制单位：锡林郭勒盟科技教育和创新服务中心</w:t>
            </w:r>
          </w:p>
        </w:tc>
        <w:tc>
          <w:tcPr>
            <w:tcW w:w="1835" w:type="dxa"/>
            <w:shd w:val="clear" w:color="auto" w:fill="auto"/>
            <w:vAlign w:val="center"/>
          </w:tcPr>
          <w:p>
            <w:pPr>
              <w:rPr>
                <w:rFonts w:hint="eastAsia" w:ascii="宋体" w:hAnsi="宋体" w:eastAsia="宋体" w:cs="宋体"/>
                <w:i w:val="0"/>
                <w:color w:val="000000"/>
                <w:sz w:val="22"/>
                <w:szCs w:val="22"/>
                <w:u w:val="none"/>
              </w:rPr>
            </w:pPr>
          </w:p>
        </w:tc>
        <w:tc>
          <w:tcPr>
            <w:tcW w:w="103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4096" w:type="dxa"/>
            <w:gridSpan w:val="4"/>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183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本年支出合计</w:t>
            </w:r>
          </w:p>
        </w:tc>
        <w:tc>
          <w:tcPr>
            <w:tcW w:w="103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基本支出</w:t>
            </w:r>
          </w:p>
        </w:tc>
        <w:tc>
          <w:tcPr>
            <w:tcW w:w="103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项目支出</w:t>
            </w:r>
          </w:p>
        </w:tc>
        <w:tc>
          <w:tcPr>
            <w:tcW w:w="103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上缴上级支出</w:t>
            </w:r>
          </w:p>
        </w:tc>
        <w:tc>
          <w:tcPr>
            <w:tcW w:w="103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经营支出</w:t>
            </w:r>
          </w:p>
        </w:tc>
        <w:tc>
          <w:tcPr>
            <w:tcW w:w="991"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55"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支出功能分类科目代码</w:t>
            </w:r>
          </w:p>
        </w:tc>
        <w:tc>
          <w:tcPr>
            <w:tcW w:w="5463"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83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9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55"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5463" w:type="dxa"/>
            <w:gridSpan w:val="2"/>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83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9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55"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5463" w:type="dxa"/>
            <w:gridSpan w:val="2"/>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83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9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018"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103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10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103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99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018"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85.43</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84.57</w:t>
            </w:r>
          </w:p>
        </w:tc>
        <w:tc>
          <w:tcPr>
            <w:tcW w:w="10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10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0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9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206</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科学技术支出</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20607</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科学技术普及</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2060701</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机构运行</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社会保障和就业支出</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行政事业单位养老支出</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2080505</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机关事业单位基本养老保险缴费支出</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卫生健康支出</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4.20</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3.34</w:t>
            </w:r>
          </w:p>
        </w:tc>
        <w:tc>
          <w:tcPr>
            <w:tcW w:w="10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公共卫生</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1039"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2100410</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突发公共卫生事件应急处理</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1039"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行政事业单位医疗</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3.34</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3.34</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2101102</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事业单位医疗</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2.90</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2.90</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2101103</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公务员医疗补助</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0.44</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0.44</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住房保障支出</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住房改革支出</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2210201</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住房公积金</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6.84</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6.84</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2210203</w:t>
            </w:r>
          </w:p>
        </w:tc>
        <w:tc>
          <w:tcPr>
            <w:tcW w:w="546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购房补贴</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1.60</w:t>
            </w:r>
          </w:p>
        </w:tc>
        <w:tc>
          <w:tcPr>
            <w:tcW w:w="10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1.60</w:t>
            </w:r>
          </w:p>
        </w:tc>
        <w:tc>
          <w:tcPr>
            <w:tcW w:w="103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36"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bl>
    <w:p>
      <w:pPr>
        <w:sectPr>
          <w:pgSz w:w="16838" w:h="11906" w:orient="landscape"/>
          <w:pgMar w:top="1083" w:right="1440" w:bottom="1083" w:left="1440" w:header="0" w:footer="720" w:gutter="0"/>
          <w:cols w:space="425" w:num="1"/>
          <w:docGrid w:type="lines" w:linePitch="312" w:charSpace="0"/>
        </w:sectPr>
      </w:pPr>
    </w:p>
    <w:tbl>
      <w:tblPr>
        <w:tblStyle w:val="2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01"/>
        <w:gridCol w:w="459"/>
        <w:gridCol w:w="2495"/>
        <w:gridCol w:w="2769"/>
        <w:gridCol w:w="524"/>
        <w:gridCol w:w="1172"/>
        <w:gridCol w:w="652"/>
        <w:gridCol w:w="629"/>
        <w:gridCol w:w="2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3988" w:type="dxa"/>
            <w:gridSpan w:val="9"/>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2960" w:type="dxa"/>
            <w:gridSpan w:val="2"/>
            <w:shd w:val="clear" w:color="auto" w:fill="auto"/>
            <w:vAlign w:val="center"/>
          </w:tcPr>
          <w:p>
            <w:pPr>
              <w:rPr>
                <w:rFonts w:hint="eastAsia" w:ascii="宋体" w:hAnsi="宋体" w:eastAsia="宋体" w:cs="宋体"/>
                <w:i w:val="0"/>
                <w:color w:val="000000"/>
                <w:sz w:val="22"/>
                <w:szCs w:val="22"/>
                <w:u w:val="none"/>
              </w:rPr>
            </w:pPr>
          </w:p>
        </w:tc>
        <w:tc>
          <w:tcPr>
            <w:tcW w:w="2495" w:type="dxa"/>
            <w:shd w:val="clear" w:color="auto" w:fill="auto"/>
            <w:vAlign w:val="center"/>
          </w:tcPr>
          <w:p>
            <w:pPr>
              <w:rPr>
                <w:rFonts w:hint="eastAsia" w:ascii="宋体" w:hAnsi="宋体" w:eastAsia="宋体" w:cs="宋体"/>
                <w:i w:val="0"/>
                <w:color w:val="000000"/>
                <w:sz w:val="22"/>
                <w:szCs w:val="22"/>
                <w:u w:val="none"/>
              </w:rPr>
            </w:pPr>
          </w:p>
        </w:tc>
        <w:tc>
          <w:tcPr>
            <w:tcW w:w="2769" w:type="dxa"/>
            <w:shd w:val="clear" w:color="auto" w:fill="auto"/>
            <w:vAlign w:val="center"/>
          </w:tcPr>
          <w:p>
            <w:pPr>
              <w:rPr>
                <w:rFonts w:hint="eastAsia" w:ascii="宋体" w:hAnsi="宋体" w:eastAsia="宋体" w:cs="宋体"/>
                <w:i w:val="0"/>
                <w:color w:val="000000"/>
                <w:sz w:val="22"/>
                <w:szCs w:val="22"/>
                <w:u w:val="none"/>
              </w:rPr>
            </w:pPr>
          </w:p>
        </w:tc>
        <w:tc>
          <w:tcPr>
            <w:tcW w:w="524" w:type="dxa"/>
            <w:shd w:val="clear" w:color="auto" w:fill="auto"/>
            <w:vAlign w:val="center"/>
          </w:tcPr>
          <w:p>
            <w:pPr>
              <w:rPr>
                <w:rFonts w:hint="eastAsia" w:ascii="宋体" w:hAnsi="宋体" w:eastAsia="宋体" w:cs="宋体"/>
                <w:i w:val="0"/>
                <w:color w:val="000000"/>
                <w:sz w:val="22"/>
                <w:szCs w:val="22"/>
                <w:u w:val="none"/>
              </w:rPr>
            </w:pPr>
          </w:p>
        </w:tc>
        <w:tc>
          <w:tcPr>
            <w:tcW w:w="1172" w:type="dxa"/>
            <w:shd w:val="clear" w:color="auto" w:fill="auto"/>
            <w:vAlign w:val="center"/>
          </w:tcPr>
          <w:p>
            <w:pPr>
              <w:rPr>
                <w:rFonts w:hint="eastAsia" w:ascii="宋体" w:hAnsi="宋体" w:eastAsia="宋体" w:cs="宋体"/>
                <w:i w:val="0"/>
                <w:color w:val="000000"/>
                <w:sz w:val="22"/>
                <w:szCs w:val="22"/>
                <w:u w:val="none"/>
              </w:rPr>
            </w:pPr>
          </w:p>
        </w:tc>
        <w:tc>
          <w:tcPr>
            <w:tcW w:w="652" w:type="dxa"/>
            <w:shd w:val="clear" w:color="auto" w:fill="auto"/>
            <w:vAlign w:val="center"/>
          </w:tcPr>
          <w:p>
            <w:pPr>
              <w:rPr>
                <w:rFonts w:hint="eastAsia" w:ascii="宋体" w:hAnsi="宋体" w:eastAsia="宋体" w:cs="宋体"/>
                <w:i w:val="0"/>
                <w:color w:val="000000"/>
                <w:sz w:val="22"/>
                <w:szCs w:val="22"/>
                <w:u w:val="none"/>
              </w:rPr>
            </w:pPr>
          </w:p>
        </w:tc>
        <w:tc>
          <w:tcPr>
            <w:tcW w:w="629" w:type="dxa"/>
            <w:shd w:val="clear" w:color="auto" w:fill="auto"/>
            <w:vAlign w:val="center"/>
          </w:tcPr>
          <w:p>
            <w:pPr>
              <w:rPr>
                <w:rFonts w:hint="eastAsia" w:ascii="宋体" w:hAnsi="宋体" w:eastAsia="宋体" w:cs="宋体"/>
                <w:i w:val="0"/>
                <w:color w:val="000000"/>
                <w:sz w:val="22"/>
                <w:szCs w:val="22"/>
                <w:u w:val="none"/>
              </w:rPr>
            </w:pPr>
          </w:p>
        </w:tc>
        <w:tc>
          <w:tcPr>
            <w:tcW w:w="2787"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8224" w:type="dxa"/>
            <w:gridSpan w:val="4"/>
            <w:shd w:val="clear" w:color="auto" w:fill="auto"/>
            <w:vAlign w:val="center"/>
          </w:tcPr>
          <w:p>
            <w:pP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4"/>
                <w:szCs w:val="24"/>
                <w:u w:val="none"/>
                <w:lang w:val="en-US" w:eastAsia="zh-CN" w:bidi="ar"/>
              </w:rPr>
              <w:t>编制单位：锡林郭勒盟科技教育和创新服务中心</w:t>
            </w:r>
          </w:p>
        </w:tc>
        <w:tc>
          <w:tcPr>
            <w:tcW w:w="1696" w:type="dxa"/>
            <w:gridSpan w:val="2"/>
            <w:shd w:val="clear" w:color="auto" w:fill="auto"/>
            <w:vAlign w:val="center"/>
          </w:tcPr>
          <w:p>
            <w:pP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4"/>
                <w:szCs w:val="24"/>
                <w:u w:val="none"/>
                <w:lang w:val="en-US" w:eastAsia="zh-CN" w:bidi="ar"/>
              </w:rPr>
              <w:t>2023年度</w:t>
            </w:r>
          </w:p>
        </w:tc>
        <w:tc>
          <w:tcPr>
            <w:tcW w:w="4068" w:type="dxa"/>
            <w:gridSpan w:val="3"/>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收     入</w:t>
            </w:r>
          </w:p>
        </w:tc>
        <w:tc>
          <w:tcPr>
            <w:tcW w:w="8533"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01"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459"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行次</w:t>
            </w:r>
          </w:p>
        </w:tc>
        <w:tc>
          <w:tcPr>
            <w:tcW w:w="249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金额</w:t>
            </w:r>
          </w:p>
        </w:tc>
        <w:tc>
          <w:tcPr>
            <w:tcW w:w="2769"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52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行次</w:t>
            </w:r>
          </w:p>
        </w:tc>
        <w:tc>
          <w:tcPr>
            <w:tcW w:w="117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65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一般公共预算财政拨款</w:t>
            </w:r>
          </w:p>
        </w:tc>
        <w:tc>
          <w:tcPr>
            <w:tcW w:w="629"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政府性基金预算财政拨款</w:t>
            </w:r>
          </w:p>
        </w:tc>
        <w:tc>
          <w:tcPr>
            <w:tcW w:w="278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459"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495"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769"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524"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172"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652"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629"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787"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459"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4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524"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一、一般公共预算财政拨款</w:t>
            </w: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24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85.41</w:t>
            </w: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一、一般公共服务支出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二、政府性基金预算财政拨款</w:t>
            </w: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24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二、外交支出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34</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三、国有资本经营财政拨款</w:t>
            </w: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24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三、国防支出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35</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四、公共安全支出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36</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五、教育支出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37</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六、科学技术支出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38</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七、文化旅游体育与传媒支出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八、社会保障和就业支出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40</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九、卫生健康支出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41</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十、节能环保支出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十一、城乡社区支出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十二、农林水支出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44</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十三、交通运输支出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45</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14</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十四、资源勘探工业信息等支出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46</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十五、商业服务业等支出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47</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十六、金融支出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十七、援助其他地区支出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49</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十八、自然资源海洋气象等支出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50</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19</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十九、住房保障支出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51</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二十、粮油物资储备支出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52</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二十一、国有资本经营预算支出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53</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二十二、灾害防治及应急管理支出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54</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23</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二十三、其他支出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55</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24</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二十四、债务还本支出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56</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2"/>
                <w:szCs w:val="22"/>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25</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二十五、债务付息支出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57</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01"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26</w:t>
            </w:r>
          </w:p>
        </w:tc>
        <w:tc>
          <w:tcPr>
            <w:tcW w:w="2495"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2"/>
                <w:szCs w:val="22"/>
                <w:u w:val="none"/>
              </w:rPr>
            </w:pP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二十六、抗疫特别国债安排的支出</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58</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本年收入合计</w:t>
            </w: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27</w:t>
            </w:r>
          </w:p>
        </w:tc>
        <w:tc>
          <w:tcPr>
            <w:tcW w:w="24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85.41</w:t>
            </w: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本年支出合计</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59</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85.43</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85.43</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年初财政拨款结转和结余</w:t>
            </w: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w:t>
            </w:r>
          </w:p>
        </w:tc>
        <w:tc>
          <w:tcPr>
            <w:tcW w:w="24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0.02</w:t>
            </w: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年末财政拨款结转和结余</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60</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一般公共预算财政拨款</w:t>
            </w: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w:t>
            </w:r>
          </w:p>
        </w:tc>
        <w:tc>
          <w:tcPr>
            <w:tcW w:w="24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0.02</w:t>
            </w:r>
          </w:p>
        </w:tc>
        <w:tc>
          <w:tcPr>
            <w:tcW w:w="2769"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61</w:t>
            </w:r>
          </w:p>
        </w:tc>
        <w:tc>
          <w:tcPr>
            <w:tcW w:w="1172"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652"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278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政府性基金预算财政拨款</w:t>
            </w: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w:t>
            </w:r>
          </w:p>
        </w:tc>
        <w:tc>
          <w:tcPr>
            <w:tcW w:w="24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69" w:type="dxa"/>
            <w:tcBorders>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62</w:t>
            </w:r>
          </w:p>
        </w:tc>
        <w:tc>
          <w:tcPr>
            <w:tcW w:w="1172"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652"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278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国有资本经营预算财政拨款</w:t>
            </w: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w:t>
            </w:r>
          </w:p>
        </w:tc>
        <w:tc>
          <w:tcPr>
            <w:tcW w:w="24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69" w:type="dxa"/>
            <w:tcBorders>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63</w:t>
            </w:r>
          </w:p>
        </w:tc>
        <w:tc>
          <w:tcPr>
            <w:tcW w:w="1172"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652"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629"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278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总计</w:t>
            </w:r>
          </w:p>
        </w:tc>
        <w:tc>
          <w:tcPr>
            <w:tcW w:w="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w:t>
            </w:r>
          </w:p>
        </w:tc>
        <w:tc>
          <w:tcPr>
            <w:tcW w:w="24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85.43</w:t>
            </w:r>
          </w:p>
        </w:tc>
        <w:tc>
          <w:tcPr>
            <w:tcW w:w="276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总计</w:t>
            </w:r>
          </w:p>
        </w:tc>
        <w:tc>
          <w:tcPr>
            <w:tcW w:w="52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64</w:t>
            </w:r>
          </w:p>
        </w:tc>
        <w:tc>
          <w:tcPr>
            <w:tcW w:w="11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85.43</w:t>
            </w:r>
          </w:p>
        </w:tc>
        <w:tc>
          <w:tcPr>
            <w:tcW w:w="6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85.43</w:t>
            </w:r>
          </w:p>
        </w:tc>
        <w:tc>
          <w:tcPr>
            <w:tcW w:w="6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7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88" w:type="dxa"/>
            <w:gridSpan w:val="9"/>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注：本表反映部门本年度一般公共预算财政拨款、政府性基金预算财政拨款和国有资本经营预算财政拨款的总收支和年末结转结余情况。本表金额单位转换时可能存在尾数误差。</w:t>
            </w:r>
          </w:p>
        </w:tc>
      </w:tr>
    </w:tbl>
    <w:p>
      <w:pPr>
        <w:pStyle w:val="2"/>
        <w:sectPr>
          <w:pgSz w:w="16838" w:h="11906" w:orient="landscape"/>
          <w:pgMar w:top="1083" w:right="1440" w:bottom="1083" w:left="1440" w:header="0" w:footer="720" w:gutter="0"/>
          <w:cols w:space="425" w:num="1"/>
          <w:docGrid w:type="lines" w:linePitch="312" w:charSpace="0"/>
        </w:sectPr>
      </w:pPr>
    </w:p>
    <w:tbl>
      <w:tblPr>
        <w:tblStyle w:val="2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65"/>
        <w:gridCol w:w="46"/>
        <w:gridCol w:w="44"/>
        <w:gridCol w:w="5222"/>
        <w:gridCol w:w="3011"/>
        <w:gridCol w:w="1032"/>
        <w:gridCol w:w="2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3988" w:type="dxa"/>
            <w:gridSpan w:val="7"/>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665" w:type="dxa"/>
            <w:shd w:val="clear" w:color="auto" w:fill="auto"/>
            <w:vAlign w:val="center"/>
          </w:tcPr>
          <w:p>
            <w:pPr>
              <w:rPr>
                <w:rFonts w:hint="eastAsia" w:ascii="宋体" w:hAnsi="宋体" w:eastAsia="宋体" w:cs="宋体"/>
                <w:i w:val="0"/>
                <w:color w:val="000000"/>
                <w:sz w:val="22"/>
                <w:szCs w:val="22"/>
                <w:u w:val="none"/>
              </w:rPr>
            </w:pPr>
          </w:p>
        </w:tc>
        <w:tc>
          <w:tcPr>
            <w:tcW w:w="90" w:type="dxa"/>
            <w:gridSpan w:val="2"/>
            <w:shd w:val="clear" w:color="auto" w:fill="auto"/>
            <w:vAlign w:val="center"/>
          </w:tcPr>
          <w:p>
            <w:pPr>
              <w:rPr>
                <w:rFonts w:hint="eastAsia" w:ascii="宋体" w:hAnsi="宋体" w:eastAsia="宋体" w:cs="宋体"/>
                <w:i w:val="0"/>
                <w:color w:val="000000"/>
                <w:sz w:val="22"/>
                <w:szCs w:val="22"/>
                <w:u w:val="none"/>
              </w:rPr>
            </w:pPr>
          </w:p>
        </w:tc>
        <w:tc>
          <w:tcPr>
            <w:tcW w:w="5222" w:type="dxa"/>
            <w:shd w:val="clear" w:color="auto" w:fill="auto"/>
            <w:vAlign w:val="center"/>
          </w:tcPr>
          <w:p>
            <w:pPr>
              <w:rPr>
                <w:rFonts w:hint="eastAsia" w:ascii="宋体" w:hAnsi="宋体" w:eastAsia="宋体" w:cs="宋体"/>
                <w:i w:val="0"/>
                <w:color w:val="000000"/>
                <w:sz w:val="22"/>
                <w:szCs w:val="22"/>
                <w:u w:val="none"/>
              </w:rPr>
            </w:pPr>
          </w:p>
        </w:tc>
        <w:tc>
          <w:tcPr>
            <w:tcW w:w="3011" w:type="dxa"/>
            <w:shd w:val="clear" w:color="auto" w:fill="auto"/>
            <w:vAlign w:val="center"/>
          </w:tcPr>
          <w:p>
            <w:pPr>
              <w:rPr>
                <w:rFonts w:hint="eastAsia" w:ascii="宋体" w:hAnsi="宋体" w:eastAsia="宋体" w:cs="宋体"/>
                <w:i w:val="0"/>
                <w:color w:val="000000"/>
                <w:sz w:val="22"/>
                <w:szCs w:val="22"/>
                <w:u w:val="none"/>
              </w:rPr>
            </w:pPr>
          </w:p>
        </w:tc>
        <w:tc>
          <w:tcPr>
            <w:tcW w:w="1032" w:type="dxa"/>
            <w:shd w:val="clear" w:color="auto" w:fill="auto"/>
            <w:vAlign w:val="center"/>
          </w:tcPr>
          <w:p>
            <w:pPr>
              <w:rPr>
                <w:rFonts w:hint="eastAsia" w:ascii="宋体" w:hAnsi="宋体" w:eastAsia="宋体" w:cs="宋体"/>
                <w:i w:val="0"/>
                <w:color w:val="000000"/>
                <w:sz w:val="22"/>
                <w:szCs w:val="22"/>
                <w:u w:val="none"/>
              </w:rPr>
            </w:pPr>
          </w:p>
        </w:tc>
        <w:tc>
          <w:tcPr>
            <w:tcW w:w="2968"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977" w:type="dxa"/>
            <w:gridSpan w:val="4"/>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编制单位：锡林郭勒盟科技教育和创新服务中心</w:t>
            </w:r>
          </w:p>
        </w:tc>
        <w:tc>
          <w:tcPr>
            <w:tcW w:w="3011" w:type="dxa"/>
            <w:shd w:val="clear" w:color="auto" w:fill="auto"/>
            <w:vAlign w:val="center"/>
          </w:tcPr>
          <w:p>
            <w:pP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4"/>
                <w:szCs w:val="24"/>
                <w:u w:val="none"/>
                <w:lang w:val="en-US" w:eastAsia="zh-CN" w:bidi="ar"/>
              </w:rPr>
              <w:t>2023年度</w:t>
            </w:r>
          </w:p>
        </w:tc>
        <w:tc>
          <w:tcPr>
            <w:tcW w:w="1032" w:type="dxa"/>
            <w:shd w:val="clear" w:color="auto" w:fill="auto"/>
            <w:vAlign w:val="center"/>
          </w:tcPr>
          <w:p>
            <w:pPr>
              <w:rPr>
                <w:rFonts w:hint="eastAsia" w:ascii="宋体" w:hAnsi="宋体" w:eastAsia="宋体" w:cs="宋体"/>
                <w:i w:val="0"/>
                <w:color w:val="000000"/>
                <w:sz w:val="22"/>
                <w:szCs w:val="22"/>
                <w:u w:val="none"/>
              </w:rPr>
            </w:pPr>
          </w:p>
        </w:tc>
        <w:tc>
          <w:tcPr>
            <w:tcW w:w="2968"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701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711"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支出功能分类科目代码</w:t>
            </w:r>
          </w:p>
        </w:tc>
        <w:tc>
          <w:tcPr>
            <w:tcW w:w="5266"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3011"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小计</w:t>
            </w:r>
          </w:p>
        </w:tc>
        <w:tc>
          <w:tcPr>
            <w:tcW w:w="103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基本支出</w:t>
            </w:r>
          </w:p>
        </w:tc>
        <w:tc>
          <w:tcPr>
            <w:tcW w:w="296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711"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5266" w:type="dxa"/>
            <w:gridSpan w:val="2"/>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011"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2"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968"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711"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5266" w:type="dxa"/>
            <w:gridSpan w:val="2"/>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011"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32"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968"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77"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296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77"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85.43</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84.57</w:t>
            </w:r>
          </w:p>
        </w:tc>
        <w:tc>
          <w:tcPr>
            <w:tcW w:w="29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206</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科学技术支出</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20607</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科学技术普及</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2060701</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机构运行</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65.49</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社会保障和就业支出</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行政事业单位养老支出</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2080505</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机关事业单位基本养老保险缴费支出</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卫生健康支出</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4.20</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3.34</w:t>
            </w:r>
          </w:p>
        </w:tc>
        <w:tc>
          <w:tcPr>
            <w:tcW w:w="29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公共卫生</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1032"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29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2100410</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突发公共卫生事件应急处理</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1032"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29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行政事业单位医疗</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3.34</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3.34</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2101102</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事业单位医疗</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2.90</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2.90</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2101103</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公务员医疗补助</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0.44</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0.44</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住房保障支出</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住房改革支出</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8.44</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2210201</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住房公积金</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6.84</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6.84</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2210203</w:t>
            </w:r>
          </w:p>
        </w:tc>
        <w:tc>
          <w:tcPr>
            <w:tcW w:w="526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购房补贴</w:t>
            </w:r>
          </w:p>
        </w:tc>
        <w:tc>
          <w:tcPr>
            <w:tcW w:w="30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1.60</w:t>
            </w:r>
          </w:p>
        </w:tc>
        <w:tc>
          <w:tcPr>
            <w:tcW w:w="10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1.60</w:t>
            </w:r>
          </w:p>
        </w:tc>
        <w:tc>
          <w:tcPr>
            <w:tcW w:w="2968"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988" w:type="dxa"/>
            <w:gridSpan w:val="7"/>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注：1.本表反映部门本年度一般公共预算财政拨款支出情况。本表金额单位转换时可能存在尾数误差。</w:t>
            </w:r>
          </w:p>
        </w:tc>
      </w:tr>
    </w:tbl>
    <w:p>
      <w:pPr>
        <w:sectPr>
          <w:pgSz w:w="16838" w:h="11906" w:orient="landscape"/>
          <w:pgMar w:top="1083" w:right="1440" w:bottom="1083" w:left="1440" w:header="0" w:footer="720" w:gutter="0"/>
          <w:cols w:space="425" w:num="1"/>
          <w:docGrid w:type="lines" w:linePitch="312" w:charSpace="0"/>
        </w:sectPr>
      </w:pPr>
    </w:p>
    <w:tbl>
      <w:tblPr>
        <w:tblStyle w:val="2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2530"/>
        <w:gridCol w:w="1286"/>
        <w:gridCol w:w="864"/>
        <w:gridCol w:w="1995"/>
        <w:gridCol w:w="1287"/>
        <w:gridCol w:w="804"/>
        <w:gridCol w:w="3244"/>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3988" w:type="dxa"/>
            <w:gridSpan w:val="9"/>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3220" w:type="dxa"/>
            <w:gridSpan w:val="2"/>
            <w:shd w:val="clear" w:color="auto" w:fill="auto"/>
            <w:vAlign w:val="center"/>
          </w:tcPr>
          <w:p>
            <w:pPr>
              <w:rPr>
                <w:rFonts w:hint="eastAsia" w:ascii="宋体" w:hAnsi="宋体" w:eastAsia="宋体" w:cs="宋体"/>
                <w:i w:val="0"/>
                <w:color w:val="000000"/>
                <w:sz w:val="22"/>
                <w:szCs w:val="22"/>
                <w:u w:val="none"/>
              </w:rPr>
            </w:pPr>
          </w:p>
        </w:tc>
        <w:tc>
          <w:tcPr>
            <w:tcW w:w="1286" w:type="dxa"/>
            <w:shd w:val="clear" w:color="auto" w:fill="auto"/>
            <w:vAlign w:val="center"/>
          </w:tcPr>
          <w:p>
            <w:pPr>
              <w:rPr>
                <w:rFonts w:hint="eastAsia" w:ascii="宋体" w:hAnsi="宋体" w:eastAsia="宋体" w:cs="宋体"/>
                <w:i w:val="0"/>
                <w:color w:val="000000"/>
                <w:sz w:val="22"/>
                <w:szCs w:val="22"/>
                <w:u w:val="none"/>
              </w:rPr>
            </w:pPr>
          </w:p>
        </w:tc>
        <w:tc>
          <w:tcPr>
            <w:tcW w:w="864" w:type="dxa"/>
            <w:shd w:val="clear" w:color="auto" w:fill="auto"/>
            <w:vAlign w:val="center"/>
          </w:tcPr>
          <w:p>
            <w:pPr>
              <w:rPr>
                <w:rFonts w:hint="eastAsia" w:ascii="宋体" w:hAnsi="宋体" w:eastAsia="宋体" w:cs="宋体"/>
                <w:i w:val="0"/>
                <w:color w:val="000000"/>
                <w:sz w:val="22"/>
                <w:szCs w:val="22"/>
                <w:u w:val="none"/>
              </w:rPr>
            </w:pPr>
          </w:p>
        </w:tc>
        <w:tc>
          <w:tcPr>
            <w:tcW w:w="1995" w:type="dxa"/>
            <w:shd w:val="clear" w:color="auto" w:fill="auto"/>
            <w:vAlign w:val="center"/>
          </w:tcPr>
          <w:p>
            <w:pPr>
              <w:rPr>
                <w:rFonts w:hint="eastAsia" w:ascii="宋体" w:hAnsi="宋体" w:eastAsia="宋体" w:cs="宋体"/>
                <w:i w:val="0"/>
                <w:color w:val="000000"/>
                <w:sz w:val="22"/>
                <w:szCs w:val="22"/>
                <w:u w:val="none"/>
              </w:rPr>
            </w:pPr>
          </w:p>
        </w:tc>
        <w:tc>
          <w:tcPr>
            <w:tcW w:w="1287" w:type="dxa"/>
            <w:shd w:val="clear" w:color="auto" w:fill="auto"/>
            <w:vAlign w:val="center"/>
          </w:tcPr>
          <w:p>
            <w:pPr>
              <w:rPr>
                <w:rFonts w:hint="eastAsia" w:ascii="宋体" w:hAnsi="宋体" w:eastAsia="宋体" w:cs="宋体"/>
                <w:i w:val="0"/>
                <w:color w:val="000000"/>
                <w:sz w:val="22"/>
                <w:szCs w:val="22"/>
                <w:u w:val="none"/>
              </w:rPr>
            </w:pPr>
          </w:p>
        </w:tc>
        <w:tc>
          <w:tcPr>
            <w:tcW w:w="804" w:type="dxa"/>
            <w:shd w:val="clear" w:color="auto" w:fill="auto"/>
            <w:vAlign w:val="center"/>
          </w:tcPr>
          <w:p>
            <w:pPr>
              <w:rPr>
                <w:rFonts w:hint="eastAsia" w:ascii="宋体" w:hAnsi="宋体" w:eastAsia="宋体" w:cs="宋体"/>
                <w:i w:val="0"/>
                <w:color w:val="000000"/>
                <w:sz w:val="22"/>
                <w:szCs w:val="22"/>
                <w:u w:val="none"/>
              </w:rPr>
            </w:pPr>
          </w:p>
        </w:tc>
        <w:tc>
          <w:tcPr>
            <w:tcW w:w="3244" w:type="dxa"/>
            <w:shd w:val="clear" w:color="auto" w:fill="auto"/>
            <w:vAlign w:val="center"/>
          </w:tcPr>
          <w:p>
            <w:pPr>
              <w:rPr>
                <w:rFonts w:hint="eastAsia" w:ascii="宋体" w:hAnsi="宋体" w:eastAsia="宋体" w:cs="宋体"/>
                <w:i w:val="0"/>
                <w:color w:val="000000"/>
                <w:sz w:val="22"/>
                <w:szCs w:val="22"/>
                <w:u w:val="none"/>
              </w:rPr>
            </w:pPr>
          </w:p>
        </w:tc>
        <w:tc>
          <w:tcPr>
            <w:tcW w:w="1288"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370" w:type="dxa"/>
            <w:gridSpan w:val="4"/>
            <w:shd w:val="clear" w:color="auto" w:fill="auto"/>
            <w:vAlign w:val="center"/>
          </w:tcPr>
          <w:p>
            <w:pP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4"/>
                <w:szCs w:val="24"/>
                <w:u w:val="none"/>
                <w:lang w:val="en-US" w:eastAsia="zh-CN" w:bidi="ar"/>
              </w:rPr>
              <w:t>编制单位：锡林郭勒盟科技教育和创新服务中心</w:t>
            </w:r>
          </w:p>
        </w:tc>
        <w:tc>
          <w:tcPr>
            <w:tcW w:w="1995"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1287" w:type="dxa"/>
            <w:shd w:val="clear" w:color="auto" w:fill="auto"/>
            <w:vAlign w:val="center"/>
          </w:tcPr>
          <w:p>
            <w:pPr>
              <w:rPr>
                <w:rFonts w:hint="eastAsia" w:ascii="宋体" w:hAnsi="宋体" w:eastAsia="宋体" w:cs="宋体"/>
                <w:i w:val="0"/>
                <w:color w:val="000000"/>
                <w:sz w:val="22"/>
                <w:szCs w:val="22"/>
                <w:u w:val="none"/>
              </w:rPr>
            </w:pPr>
          </w:p>
        </w:tc>
        <w:tc>
          <w:tcPr>
            <w:tcW w:w="804" w:type="dxa"/>
            <w:shd w:val="clear" w:color="auto" w:fill="auto"/>
            <w:vAlign w:val="center"/>
          </w:tcPr>
          <w:p>
            <w:pPr>
              <w:rPr>
                <w:rFonts w:hint="eastAsia" w:ascii="宋体" w:hAnsi="宋体" w:eastAsia="宋体" w:cs="宋体"/>
                <w:i w:val="0"/>
                <w:color w:val="000000"/>
                <w:sz w:val="22"/>
                <w:szCs w:val="22"/>
                <w:u w:val="none"/>
              </w:rPr>
            </w:pPr>
          </w:p>
        </w:tc>
        <w:tc>
          <w:tcPr>
            <w:tcW w:w="4532" w:type="dxa"/>
            <w:gridSpan w:val="2"/>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人员经费</w:t>
            </w:r>
          </w:p>
        </w:tc>
        <w:tc>
          <w:tcPr>
            <w:tcW w:w="9482"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9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253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286"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c>
          <w:tcPr>
            <w:tcW w:w="86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199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28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c>
          <w:tcPr>
            <w:tcW w:w="80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324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28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530"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286"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64"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995"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287"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804"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3244"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288"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工资福利支出</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81.09</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商品和服务支出</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3.48</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债务利息及费用支出</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30101</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基本工资</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21.90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30201</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办公费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0.33</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30701</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国内债务付息</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30102</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津贴补贴</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9.80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30202</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印刷费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30702</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国外债务付息</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30103</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奖金</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4.36</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30203</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咨询费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30704</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国内债务发行费用</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30106</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伙食补助费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30204</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手续费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0.01</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资本性支出</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30107</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绩效工资</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17.60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30205</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水费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31001</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房屋建筑物购建</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30108</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机关事业单位基本养老保险缴费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30206</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电费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31002</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办公设备购置</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30109</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职业年金缴费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30207</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邮电费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0.04</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31003</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专用设备购置</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30110</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职工基本医疗保险缴费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30208</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取暖费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31005</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基础设施建设</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30111</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公务员医疗补助缴费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0.44</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30209</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物业管理费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31006</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大型修缮</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30112</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其他社会保障缴费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0.67</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30211</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差旅费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0.57</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31007</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信息网络及软件购置更新</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30113</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住房公积金</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6.84</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30212</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因公出国（境）费用</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31008</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物资储备</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30114</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医疗费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30213</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维修（护）费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31009</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土地补偿</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30199</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其他工资福利支出</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9.28</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30214</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租赁费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31010</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安置补助</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对个人和家庭的补助</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30215</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会议费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31011</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地上附着物和青苗补偿</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30301</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离休费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30216</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培训费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31012</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拆迁补偿</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30302</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退休费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30217</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公务接待费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31013</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公务用车购置</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30303</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退职（役）费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30218</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专用材料费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31019</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其他交通工具购置</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30304</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抚恤金</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30224</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被装购置费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31021</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文物和陈列品购置</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30305</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生活补助</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30225</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专用燃料费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31022</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无形资产购置</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30306</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救济费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30226</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劳务费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0.16</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31099</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其他资本性支出</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30307</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医疗费补助</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30227</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委托业务费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对企业补助</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30308</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助学金</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30228</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工会经费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1.15</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31204</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费用补贴</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30309</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奖励金</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30229</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福利费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0.92</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31299</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其他对企业补助</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30310</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个人农业生产补贴</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30231</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公务用车运行维护费</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其他支出</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30311</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代缴社会保险费</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30239</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其他交通费用</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39907</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国家赔偿费用支出</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30399</w:t>
            </w:r>
          </w:p>
        </w:tc>
        <w:tc>
          <w:tcPr>
            <w:tcW w:w="25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其他对个人和家庭的补助</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30240</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税金及附加费用</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39908</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对民间非营利组织和群众性自治组织补贴</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530" w:type="dxa"/>
            <w:tcBorders>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30299</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其他商品和服务支出</w:t>
            </w:r>
          </w:p>
        </w:tc>
        <w:tc>
          <w:tcPr>
            <w:tcW w:w="128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0.30</w:t>
            </w: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39909</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经常性赠与</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530" w:type="dxa"/>
            <w:tcBorders>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995" w:type="dxa"/>
            <w:tcBorders>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128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39910</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资本性赠与</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90"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530" w:type="dxa"/>
            <w:tcBorders>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64"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995" w:type="dxa"/>
            <w:tcBorders>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128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80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39999</w:t>
            </w:r>
          </w:p>
        </w:tc>
        <w:tc>
          <w:tcPr>
            <w:tcW w:w="32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其他支出</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220"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人员经费合计</w:t>
            </w:r>
          </w:p>
        </w:tc>
        <w:tc>
          <w:tcPr>
            <w:tcW w:w="12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81.09</w:t>
            </w:r>
          </w:p>
        </w:tc>
        <w:tc>
          <w:tcPr>
            <w:tcW w:w="8194"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公用经费合计</w:t>
            </w:r>
          </w:p>
        </w:tc>
        <w:tc>
          <w:tcPr>
            <w:tcW w:w="12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3988" w:type="dxa"/>
            <w:gridSpan w:val="9"/>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注：1.本表反映部门本年度一般公共预算财政拨款基本支出明细情况。</w:t>
            </w:r>
          </w:p>
        </w:tc>
      </w:tr>
    </w:tbl>
    <w:p>
      <w:pPr>
        <w:pStyle w:val="2"/>
        <w:sectPr>
          <w:pgSz w:w="16838" w:h="11906" w:orient="landscape"/>
          <w:pgMar w:top="1083" w:right="1440" w:bottom="1083" w:left="1440" w:header="0" w:footer="720" w:gutter="0"/>
          <w:cols w:space="425" w:num="1"/>
          <w:docGrid w:type="lines" w:linePitch="312" w:charSpace="0"/>
        </w:sectPr>
      </w:pPr>
    </w:p>
    <w:tbl>
      <w:tblPr>
        <w:tblStyle w:val="2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8"/>
        <w:gridCol w:w="2364"/>
        <w:gridCol w:w="1330"/>
        <w:gridCol w:w="738"/>
        <w:gridCol w:w="2364"/>
        <w:gridCol w:w="1331"/>
        <w:gridCol w:w="738"/>
        <w:gridCol w:w="3055"/>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3988" w:type="dxa"/>
            <w:gridSpan w:val="9"/>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一般公共预算财政拨款项目支出决算明细表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3102" w:type="dxa"/>
            <w:gridSpan w:val="2"/>
            <w:shd w:val="clear" w:color="auto" w:fill="auto"/>
            <w:vAlign w:val="center"/>
          </w:tcPr>
          <w:p>
            <w:pPr>
              <w:rPr>
                <w:rFonts w:hint="eastAsia" w:ascii="宋体" w:hAnsi="宋体" w:eastAsia="宋体" w:cs="宋体"/>
                <w:i w:val="0"/>
                <w:color w:val="000000"/>
                <w:sz w:val="22"/>
                <w:szCs w:val="22"/>
                <w:u w:val="none"/>
              </w:rPr>
            </w:pPr>
          </w:p>
        </w:tc>
        <w:tc>
          <w:tcPr>
            <w:tcW w:w="1330" w:type="dxa"/>
            <w:shd w:val="clear" w:color="auto" w:fill="auto"/>
            <w:vAlign w:val="center"/>
          </w:tcPr>
          <w:p>
            <w:pPr>
              <w:rPr>
                <w:rFonts w:hint="eastAsia" w:ascii="宋体" w:hAnsi="宋体" w:eastAsia="宋体" w:cs="宋体"/>
                <w:i w:val="0"/>
                <w:color w:val="000000"/>
                <w:sz w:val="22"/>
                <w:szCs w:val="22"/>
                <w:u w:val="none"/>
              </w:rPr>
            </w:pPr>
          </w:p>
        </w:tc>
        <w:tc>
          <w:tcPr>
            <w:tcW w:w="738" w:type="dxa"/>
            <w:shd w:val="clear" w:color="auto" w:fill="auto"/>
            <w:vAlign w:val="center"/>
          </w:tcPr>
          <w:p>
            <w:pPr>
              <w:rPr>
                <w:rFonts w:hint="eastAsia" w:ascii="宋体" w:hAnsi="宋体" w:eastAsia="宋体" w:cs="宋体"/>
                <w:i w:val="0"/>
                <w:color w:val="000000"/>
                <w:sz w:val="22"/>
                <w:szCs w:val="22"/>
                <w:u w:val="none"/>
              </w:rPr>
            </w:pPr>
          </w:p>
        </w:tc>
        <w:tc>
          <w:tcPr>
            <w:tcW w:w="2364" w:type="dxa"/>
            <w:shd w:val="clear" w:color="auto" w:fill="auto"/>
            <w:vAlign w:val="center"/>
          </w:tcPr>
          <w:p>
            <w:pPr>
              <w:rPr>
                <w:rFonts w:hint="eastAsia" w:ascii="宋体" w:hAnsi="宋体" w:eastAsia="宋体" w:cs="宋体"/>
                <w:i w:val="0"/>
                <w:color w:val="000000"/>
                <w:sz w:val="22"/>
                <w:szCs w:val="22"/>
                <w:u w:val="none"/>
              </w:rPr>
            </w:pPr>
          </w:p>
        </w:tc>
        <w:tc>
          <w:tcPr>
            <w:tcW w:w="1331" w:type="dxa"/>
            <w:shd w:val="clear" w:color="auto" w:fill="auto"/>
            <w:vAlign w:val="center"/>
          </w:tcPr>
          <w:p>
            <w:pPr>
              <w:rPr>
                <w:rFonts w:hint="eastAsia" w:ascii="宋体" w:hAnsi="宋体" w:eastAsia="宋体" w:cs="宋体"/>
                <w:i w:val="0"/>
                <w:color w:val="000000"/>
                <w:sz w:val="22"/>
                <w:szCs w:val="22"/>
                <w:u w:val="none"/>
              </w:rPr>
            </w:pPr>
          </w:p>
        </w:tc>
        <w:tc>
          <w:tcPr>
            <w:tcW w:w="738" w:type="dxa"/>
            <w:shd w:val="clear" w:color="auto" w:fill="auto"/>
            <w:vAlign w:val="center"/>
          </w:tcPr>
          <w:p>
            <w:pPr>
              <w:rPr>
                <w:rFonts w:hint="eastAsia" w:ascii="宋体" w:hAnsi="宋体" w:eastAsia="宋体" w:cs="宋体"/>
                <w:i w:val="0"/>
                <w:color w:val="000000"/>
                <w:sz w:val="22"/>
                <w:szCs w:val="22"/>
                <w:u w:val="none"/>
              </w:rPr>
            </w:pPr>
          </w:p>
        </w:tc>
        <w:tc>
          <w:tcPr>
            <w:tcW w:w="3055" w:type="dxa"/>
            <w:shd w:val="clear" w:color="auto" w:fill="auto"/>
            <w:vAlign w:val="center"/>
          </w:tcPr>
          <w:p>
            <w:pPr>
              <w:rPr>
                <w:rFonts w:hint="eastAsia" w:ascii="宋体" w:hAnsi="宋体" w:eastAsia="宋体" w:cs="宋体"/>
                <w:i w:val="0"/>
                <w:color w:val="000000"/>
                <w:sz w:val="22"/>
                <w:szCs w:val="22"/>
                <w:u w:val="none"/>
              </w:rPr>
            </w:pPr>
          </w:p>
        </w:tc>
        <w:tc>
          <w:tcPr>
            <w:tcW w:w="1330"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5170" w:type="dxa"/>
            <w:gridSpan w:val="4"/>
            <w:shd w:val="clear" w:color="auto" w:fill="auto"/>
            <w:vAlign w:val="center"/>
          </w:tcPr>
          <w:p>
            <w:pP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4"/>
                <w:szCs w:val="24"/>
                <w:u w:val="none"/>
                <w:lang w:val="en-US" w:eastAsia="zh-CN" w:bidi="ar"/>
              </w:rPr>
              <w:t>编制单位：锡林郭勒盟科技教育和创新服务中心</w:t>
            </w:r>
          </w:p>
        </w:tc>
        <w:tc>
          <w:tcPr>
            <w:tcW w:w="2364"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1331" w:type="dxa"/>
            <w:shd w:val="clear" w:color="auto" w:fill="auto"/>
            <w:vAlign w:val="center"/>
          </w:tcPr>
          <w:p>
            <w:pPr>
              <w:rPr>
                <w:rFonts w:hint="eastAsia" w:ascii="宋体" w:hAnsi="宋体" w:eastAsia="宋体" w:cs="宋体"/>
                <w:i w:val="0"/>
                <w:color w:val="000000"/>
                <w:sz w:val="22"/>
                <w:szCs w:val="22"/>
                <w:u w:val="none"/>
              </w:rPr>
            </w:pPr>
          </w:p>
        </w:tc>
        <w:tc>
          <w:tcPr>
            <w:tcW w:w="738" w:type="dxa"/>
            <w:shd w:val="clear" w:color="auto" w:fill="auto"/>
            <w:vAlign w:val="center"/>
          </w:tcPr>
          <w:p>
            <w:pPr>
              <w:rPr>
                <w:rFonts w:hint="eastAsia" w:ascii="宋体" w:hAnsi="宋体" w:eastAsia="宋体" w:cs="宋体"/>
                <w:i w:val="0"/>
                <w:color w:val="000000"/>
                <w:sz w:val="22"/>
                <w:szCs w:val="22"/>
                <w:u w:val="none"/>
              </w:rPr>
            </w:pPr>
          </w:p>
        </w:tc>
        <w:tc>
          <w:tcPr>
            <w:tcW w:w="4385" w:type="dxa"/>
            <w:gridSpan w:val="2"/>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23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3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c>
          <w:tcPr>
            <w:tcW w:w="7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23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3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c>
          <w:tcPr>
            <w:tcW w:w="7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30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3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工资福利支出</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30228</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工会经费</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资本性支出</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30101</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基本工资</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30229</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福利费</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31001</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房屋建筑物购建</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30102</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津贴补贴</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30231</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公务用车运行维护费</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31002</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办公设备购置</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30103</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奖金</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30239</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其他交通费用</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31003</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专用设备购置</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30106</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伙食补助费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30240</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税金及附加费用</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31005</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基础设施建设</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30107</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绩效工资</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30299</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其他商品和服务支出</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31006</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大型修缮</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30108</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机关事业单位基本养老保险缴费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对个人和家庭的补助</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31007</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信息网络及软件购置更新</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30109</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职业年金缴费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30301</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离休费</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31008</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物资储备</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30110</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职工基本医疗保险缴费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30302</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退休费</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31009</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土地补偿</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30111</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公务员医疗补助缴费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30303</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退职（役）费</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31010</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安置补助</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30112</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其他社会保障缴费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30304</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抚恤金</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31011</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地上附着物和青苗补偿</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30113</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住房公积金</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30305</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生活补助</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31012</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拆迁补偿</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30114</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医疗费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30306</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救济费</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31013</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公务用车购置</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30199</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其他工资福利支出</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30307</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医疗费补助</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31019</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其他交通工具购置</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商品和服务支出</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30308</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助学金</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31021</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文物和陈列品购置</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30201</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办公费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30309</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奖励金</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31022</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无形资产购置</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30202</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印刷费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30310</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个人农业生产补贴</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31099</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其他资本性支出</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30203</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咨询费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30311</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代缴社会保险费</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311</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对企业补助（基本建设）</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30204</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手续费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30399</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其他对个人和家庭的补助</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31101</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资本金注入</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30205</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水费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债务利息及费用支出</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31199</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其他对企业补助</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30206</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电费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30701</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国内债务付息</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对企业补助</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30207</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邮电费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30702</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国外债务付息</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31201</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资本金注入</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30208</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取暖费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30703</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国内债务发行费用</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31203</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政府投资基金股权投资</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30209</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物业管理费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30704</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国外债务发行费用</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31204</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费用补贴</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30211</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差旅费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资本性支出（基本建设）</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31205</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利息补贴</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30212</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因公出国（境）费用</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30901</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房屋建筑物购建</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31299</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其他对企业补助</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30213</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维修（护）费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30902</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办公设备购置</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313</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对社会保障基金补助</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30214</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租赁费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30903</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专用设备购置</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31302</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对社会保险基金补助</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30215</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会议费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30905</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基础设施建设</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31303</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补充全国社会保障基金</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30216</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培训费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30906</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大型修缮</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31304</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对机关事业单位职业年金的补助</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30217</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公务接待费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30907</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信息网络及软件购置更新</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其他支出</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30218</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专用材料费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30908</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物资储备</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39907</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国家赔偿费用支出</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30224</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被装购置费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30913</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公务用车购置</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39908</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对民间非营利组织和群众性自治组织补贴</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30225</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专用燃料费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30919</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其他交通工具购置</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39909</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经常性赠与</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30226</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劳务费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30921</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文物和陈列品购置</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39910</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资本性赠与</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30227</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委托业务费</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30922</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无形资产购置</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39999</w:t>
            </w:r>
          </w:p>
        </w:tc>
        <w:tc>
          <w:tcPr>
            <w:tcW w:w="305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其他支出</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7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30999</w:t>
            </w:r>
          </w:p>
        </w:tc>
        <w:tc>
          <w:tcPr>
            <w:tcW w:w="236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其他基本建设支出</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7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    计</w:t>
            </w:r>
          </w:p>
        </w:tc>
        <w:tc>
          <w:tcPr>
            <w:tcW w:w="13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0.86</w:t>
            </w:r>
          </w:p>
        </w:tc>
      </w:tr>
    </w:tbl>
    <w:p>
      <w:pPr>
        <w:sectPr>
          <w:pgSz w:w="16838" w:h="11906" w:orient="landscape"/>
          <w:pgMar w:top="1083" w:right="1440" w:bottom="1083" w:left="1440" w:header="0" w:footer="720" w:gutter="0"/>
          <w:cols w:space="425" w:num="1"/>
          <w:docGrid w:type="lines" w:linePitch="312" w:charSpace="0"/>
        </w:sectPr>
      </w:pPr>
    </w:p>
    <w:tbl>
      <w:tblPr>
        <w:tblStyle w:val="2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6"/>
        <w:gridCol w:w="31"/>
        <w:gridCol w:w="59"/>
        <w:gridCol w:w="5211"/>
        <w:gridCol w:w="2241"/>
        <w:gridCol w:w="1003"/>
        <w:gridCol w:w="997"/>
        <w:gridCol w:w="997"/>
        <w:gridCol w:w="999"/>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3988" w:type="dxa"/>
            <w:gridSpan w:val="10"/>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1506" w:type="dxa"/>
            <w:shd w:val="clear" w:color="auto" w:fill="auto"/>
            <w:vAlign w:val="center"/>
          </w:tcPr>
          <w:p>
            <w:pPr>
              <w:rPr>
                <w:rFonts w:hint="eastAsia" w:ascii="宋体" w:hAnsi="宋体" w:eastAsia="宋体" w:cs="宋体"/>
                <w:i w:val="0"/>
                <w:color w:val="000000"/>
                <w:sz w:val="22"/>
                <w:szCs w:val="22"/>
                <w:u w:val="none"/>
              </w:rPr>
            </w:pPr>
          </w:p>
        </w:tc>
        <w:tc>
          <w:tcPr>
            <w:tcW w:w="90" w:type="dxa"/>
            <w:gridSpan w:val="2"/>
            <w:shd w:val="clear" w:color="auto" w:fill="auto"/>
            <w:vAlign w:val="center"/>
          </w:tcPr>
          <w:p>
            <w:pPr>
              <w:rPr>
                <w:rFonts w:hint="eastAsia" w:ascii="宋体" w:hAnsi="宋体" w:eastAsia="宋体" w:cs="宋体"/>
                <w:i w:val="0"/>
                <w:color w:val="000000"/>
                <w:sz w:val="22"/>
                <w:szCs w:val="22"/>
                <w:u w:val="none"/>
              </w:rPr>
            </w:pPr>
          </w:p>
        </w:tc>
        <w:tc>
          <w:tcPr>
            <w:tcW w:w="5211" w:type="dxa"/>
            <w:shd w:val="clear" w:color="auto" w:fill="auto"/>
            <w:vAlign w:val="center"/>
          </w:tcPr>
          <w:p>
            <w:pPr>
              <w:rPr>
                <w:rFonts w:hint="eastAsia" w:ascii="宋体" w:hAnsi="宋体" w:eastAsia="宋体" w:cs="宋体"/>
                <w:i w:val="0"/>
                <w:color w:val="000000"/>
                <w:sz w:val="22"/>
                <w:szCs w:val="22"/>
                <w:u w:val="none"/>
              </w:rPr>
            </w:pPr>
          </w:p>
        </w:tc>
        <w:tc>
          <w:tcPr>
            <w:tcW w:w="2241" w:type="dxa"/>
            <w:shd w:val="clear" w:color="auto" w:fill="auto"/>
            <w:vAlign w:val="center"/>
          </w:tcPr>
          <w:p>
            <w:pPr>
              <w:rPr>
                <w:rFonts w:hint="eastAsia" w:ascii="宋体" w:hAnsi="宋体" w:eastAsia="宋体" w:cs="宋体"/>
                <w:i w:val="0"/>
                <w:color w:val="000000"/>
                <w:sz w:val="22"/>
                <w:szCs w:val="22"/>
                <w:u w:val="none"/>
              </w:rPr>
            </w:pPr>
          </w:p>
        </w:tc>
        <w:tc>
          <w:tcPr>
            <w:tcW w:w="1003" w:type="dxa"/>
            <w:shd w:val="clear" w:color="auto" w:fill="auto"/>
            <w:vAlign w:val="center"/>
          </w:tcPr>
          <w:p>
            <w:pPr>
              <w:rPr>
                <w:rFonts w:hint="eastAsia" w:ascii="宋体" w:hAnsi="宋体" w:eastAsia="宋体" w:cs="宋体"/>
                <w:i w:val="0"/>
                <w:color w:val="000000"/>
                <w:sz w:val="22"/>
                <w:szCs w:val="22"/>
                <w:u w:val="none"/>
              </w:rPr>
            </w:pPr>
          </w:p>
        </w:tc>
        <w:tc>
          <w:tcPr>
            <w:tcW w:w="997" w:type="dxa"/>
            <w:shd w:val="clear" w:color="auto" w:fill="auto"/>
            <w:vAlign w:val="center"/>
          </w:tcPr>
          <w:p>
            <w:pPr>
              <w:rPr>
                <w:rFonts w:hint="eastAsia" w:ascii="宋体" w:hAnsi="宋体" w:eastAsia="宋体" w:cs="宋体"/>
                <w:i w:val="0"/>
                <w:color w:val="000000"/>
                <w:sz w:val="22"/>
                <w:szCs w:val="22"/>
                <w:u w:val="none"/>
              </w:rPr>
            </w:pPr>
          </w:p>
        </w:tc>
        <w:tc>
          <w:tcPr>
            <w:tcW w:w="2940" w:type="dxa"/>
            <w:gridSpan w:val="3"/>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07" w:type="dxa"/>
            <w:gridSpan w:val="4"/>
            <w:shd w:val="clear" w:color="auto" w:fill="auto"/>
            <w:vAlign w:val="center"/>
          </w:tcPr>
          <w:p>
            <w:pP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4"/>
                <w:szCs w:val="24"/>
                <w:u w:val="none"/>
                <w:lang w:val="en-US" w:eastAsia="zh-CN" w:bidi="ar"/>
              </w:rPr>
              <w:t>编制单位：锡林郭勒盟科技教育和创新服务中心</w:t>
            </w:r>
          </w:p>
        </w:tc>
        <w:tc>
          <w:tcPr>
            <w:tcW w:w="3244" w:type="dxa"/>
            <w:gridSpan w:val="2"/>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997" w:type="dxa"/>
            <w:shd w:val="clear" w:color="auto" w:fill="auto"/>
            <w:vAlign w:val="center"/>
          </w:tcPr>
          <w:p>
            <w:pPr>
              <w:rPr>
                <w:rFonts w:hint="eastAsia" w:ascii="宋体" w:hAnsi="宋体" w:eastAsia="宋体" w:cs="宋体"/>
                <w:i w:val="0"/>
                <w:color w:val="000000"/>
                <w:sz w:val="22"/>
                <w:szCs w:val="22"/>
                <w:u w:val="none"/>
              </w:rPr>
            </w:pPr>
          </w:p>
        </w:tc>
        <w:tc>
          <w:tcPr>
            <w:tcW w:w="2940" w:type="dxa"/>
            <w:gridSpan w:val="3"/>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2241"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年初结转和结余</w:t>
            </w:r>
          </w:p>
        </w:tc>
        <w:tc>
          <w:tcPr>
            <w:tcW w:w="1003"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本年收入</w:t>
            </w:r>
          </w:p>
        </w:tc>
        <w:tc>
          <w:tcPr>
            <w:tcW w:w="299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w:t>
            </w:r>
          </w:p>
        </w:tc>
        <w:tc>
          <w:tcPr>
            <w:tcW w:w="94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537"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支出功能分类科目代码</w:t>
            </w:r>
          </w:p>
        </w:tc>
        <w:tc>
          <w:tcPr>
            <w:tcW w:w="5270"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224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0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9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小计</w:t>
            </w:r>
          </w:p>
        </w:tc>
        <w:tc>
          <w:tcPr>
            <w:tcW w:w="99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基本支出</w:t>
            </w:r>
          </w:p>
        </w:tc>
        <w:tc>
          <w:tcPr>
            <w:tcW w:w="999"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项目支出</w:t>
            </w: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537"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5270" w:type="dxa"/>
            <w:gridSpan w:val="2"/>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24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0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97"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97"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99"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537"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5270" w:type="dxa"/>
            <w:gridSpan w:val="2"/>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224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00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97"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97"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99"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807"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栏次</w:t>
            </w:r>
          </w:p>
        </w:tc>
        <w:tc>
          <w:tcPr>
            <w:tcW w:w="224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00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99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99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9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9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807"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22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00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99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99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9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9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537"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5270" w:type="dxa"/>
            <w:gridSpan w:val="2"/>
            <w:tcBorders>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224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00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99"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94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3988" w:type="dxa"/>
            <w:gridSpan w:val="10"/>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注：1.本表反映部门本年度政府性基金预算财政拨款收入、支出及结转和结余情况。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3988" w:type="dxa"/>
            <w:gridSpan w:val="10"/>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2.政府性基金预算财政拨款收入支出决算表如为空表，合计数需填0，并在本表下方说明“本部门（单位）无政府性基金预算财政拨款收、支、余。”。</w:t>
            </w:r>
          </w:p>
        </w:tc>
      </w:tr>
    </w:tbl>
    <w:p>
      <w:pPr>
        <w:pStyle w:val="2"/>
      </w:pPr>
    </w:p>
    <w:p>
      <w:pPr>
        <w:rPr>
          <w:rFonts w:hint="eastAsia" w:ascii="Calibri" w:hAnsi="Calibri" w:cs="Calibri"/>
          <w:i w:val="0"/>
          <w:color w:val="000000"/>
          <w:kern w:val="0"/>
          <w:sz w:val="22"/>
          <w:szCs w:val="22"/>
          <w:u w:val="none"/>
          <w:lang w:val="en-US" w:eastAsia="zh-CN" w:bidi="ar"/>
        </w:rPr>
        <w:sectPr>
          <w:pgSz w:w="16838" w:h="11906" w:orient="landscape"/>
          <w:pgMar w:top="1083" w:right="1440" w:bottom="1083" w:left="1440" w:header="0" w:footer="720" w:gutter="0"/>
          <w:cols w:space="425" w:num="1"/>
          <w:docGrid w:type="lines" w:linePitch="312" w:charSpace="0"/>
        </w:sectPr>
      </w:pPr>
      <w:r>
        <w:rPr>
          <w:rFonts w:hint="default" w:ascii="Calibri" w:hAnsi="Calibri" w:eastAsia="宋体" w:cs="Calibri"/>
          <w:i w:val="0"/>
          <w:color w:val="000000"/>
          <w:kern w:val="0"/>
          <w:sz w:val="22"/>
          <w:szCs w:val="22"/>
          <w:u w:val="none"/>
          <w:lang w:val="en-US" w:eastAsia="zh-CN" w:bidi="ar"/>
        </w:rPr>
        <w:t>本单位无政府性基金预算财政拨款收、支、余</w:t>
      </w:r>
      <w:r>
        <w:rPr>
          <w:rFonts w:hint="eastAsia" w:ascii="Calibri" w:hAnsi="Calibri" w:cs="Calibri"/>
          <w:i w:val="0"/>
          <w:color w:val="000000"/>
          <w:kern w:val="0"/>
          <w:sz w:val="22"/>
          <w:szCs w:val="22"/>
          <w:u w:val="none"/>
          <w:lang w:val="en-US" w:eastAsia="zh-CN" w:bidi="ar"/>
        </w:rPr>
        <w:t>。</w:t>
      </w:r>
    </w:p>
    <w:tbl>
      <w:tblPr>
        <w:tblStyle w:val="2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0"/>
        <w:gridCol w:w="26"/>
        <w:gridCol w:w="64"/>
        <w:gridCol w:w="4017"/>
        <w:gridCol w:w="1861"/>
        <w:gridCol w:w="784"/>
        <w:gridCol w:w="1734"/>
        <w:gridCol w:w="777"/>
        <w:gridCol w:w="1733"/>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3988" w:type="dxa"/>
            <w:gridSpan w:val="10"/>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240" w:type="dxa"/>
            <w:shd w:val="clear" w:color="auto" w:fill="auto"/>
            <w:vAlign w:val="center"/>
          </w:tcPr>
          <w:p>
            <w:pPr>
              <w:rPr>
                <w:rFonts w:hint="eastAsia" w:ascii="宋体" w:hAnsi="宋体" w:eastAsia="宋体" w:cs="宋体"/>
                <w:i w:val="0"/>
                <w:color w:val="000000"/>
                <w:sz w:val="22"/>
                <w:szCs w:val="22"/>
                <w:u w:val="none"/>
              </w:rPr>
            </w:pPr>
          </w:p>
        </w:tc>
        <w:tc>
          <w:tcPr>
            <w:tcW w:w="90" w:type="dxa"/>
            <w:gridSpan w:val="2"/>
            <w:shd w:val="clear" w:color="auto" w:fill="auto"/>
            <w:vAlign w:val="center"/>
          </w:tcPr>
          <w:p>
            <w:pPr>
              <w:rPr>
                <w:rFonts w:hint="eastAsia" w:ascii="宋体" w:hAnsi="宋体" w:eastAsia="宋体" w:cs="宋体"/>
                <w:i w:val="0"/>
                <w:color w:val="000000"/>
                <w:sz w:val="22"/>
                <w:szCs w:val="22"/>
                <w:u w:val="none"/>
              </w:rPr>
            </w:pPr>
          </w:p>
        </w:tc>
        <w:tc>
          <w:tcPr>
            <w:tcW w:w="4017" w:type="dxa"/>
            <w:shd w:val="clear" w:color="auto" w:fill="auto"/>
            <w:vAlign w:val="center"/>
          </w:tcPr>
          <w:p>
            <w:pPr>
              <w:rPr>
                <w:rFonts w:hint="eastAsia" w:ascii="宋体" w:hAnsi="宋体" w:eastAsia="宋体" w:cs="宋体"/>
                <w:i w:val="0"/>
                <w:color w:val="000000"/>
                <w:sz w:val="22"/>
                <w:szCs w:val="22"/>
                <w:u w:val="none"/>
              </w:rPr>
            </w:pPr>
          </w:p>
        </w:tc>
        <w:tc>
          <w:tcPr>
            <w:tcW w:w="1861" w:type="dxa"/>
            <w:shd w:val="clear" w:color="auto" w:fill="auto"/>
            <w:vAlign w:val="center"/>
          </w:tcPr>
          <w:p>
            <w:pPr>
              <w:rPr>
                <w:rFonts w:hint="eastAsia" w:ascii="宋体" w:hAnsi="宋体" w:eastAsia="宋体" w:cs="宋体"/>
                <w:i w:val="0"/>
                <w:color w:val="000000"/>
                <w:sz w:val="22"/>
                <w:szCs w:val="22"/>
                <w:u w:val="none"/>
              </w:rPr>
            </w:pPr>
          </w:p>
        </w:tc>
        <w:tc>
          <w:tcPr>
            <w:tcW w:w="784" w:type="dxa"/>
            <w:shd w:val="clear" w:color="auto" w:fill="auto"/>
            <w:vAlign w:val="center"/>
          </w:tcPr>
          <w:p>
            <w:pPr>
              <w:rPr>
                <w:rFonts w:hint="eastAsia" w:ascii="宋体" w:hAnsi="宋体" w:eastAsia="宋体" w:cs="宋体"/>
                <w:i w:val="0"/>
                <w:color w:val="000000"/>
                <w:sz w:val="22"/>
                <w:szCs w:val="22"/>
                <w:u w:val="none"/>
              </w:rPr>
            </w:pPr>
          </w:p>
        </w:tc>
        <w:tc>
          <w:tcPr>
            <w:tcW w:w="1734" w:type="dxa"/>
            <w:shd w:val="clear" w:color="auto" w:fill="auto"/>
            <w:vAlign w:val="center"/>
          </w:tcPr>
          <w:p>
            <w:pPr>
              <w:rPr>
                <w:rFonts w:hint="eastAsia" w:ascii="宋体" w:hAnsi="宋体" w:eastAsia="宋体" w:cs="宋体"/>
                <w:i w:val="0"/>
                <w:color w:val="000000"/>
                <w:sz w:val="22"/>
                <w:szCs w:val="22"/>
                <w:u w:val="none"/>
              </w:rPr>
            </w:pPr>
          </w:p>
        </w:tc>
        <w:tc>
          <w:tcPr>
            <w:tcW w:w="777" w:type="dxa"/>
            <w:shd w:val="clear" w:color="auto" w:fill="auto"/>
            <w:vAlign w:val="center"/>
          </w:tcPr>
          <w:p>
            <w:pPr>
              <w:rPr>
                <w:rFonts w:hint="eastAsia" w:ascii="宋体" w:hAnsi="宋体" w:eastAsia="宋体" w:cs="宋体"/>
                <w:i w:val="0"/>
                <w:color w:val="000000"/>
                <w:sz w:val="22"/>
                <w:szCs w:val="22"/>
                <w:u w:val="none"/>
              </w:rPr>
            </w:pPr>
          </w:p>
        </w:tc>
        <w:tc>
          <w:tcPr>
            <w:tcW w:w="1733" w:type="dxa"/>
            <w:shd w:val="clear" w:color="auto" w:fill="auto"/>
            <w:vAlign w:val="center"/>
          </w:tcPr>
          <w:p>
            <w:pPr>
              <w:rPr>
                <w:rFonts w:hint="eastAsia" w:ascii="宋体" w:hAnsi="宋体" w:eastAsia="宋体" w:cs="宋体"/>
                <w:i w:val="0"/>
                <w:color w:val="000000"/>
                <w:sz w:val="22"/>
                <w:szCs w:val="22"/>
                <w:u w:val="none"/>
              </w:rPr>
            </w:pPr>
          </w:p>
        </w:tc>
        <w:tc>
          <w:tcPr>
            <w:tcW w:w="1752"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347" w:type="dxa"/>
            <w:gridSpan w:val="4"/>
            <w:shd w:val="clear" w:color="auto" w:fill="auto"/>
            <w:vAlign w:val="center"/>
          </w:tcPr>
          <w:p>
            <w:pP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4"/>
                <w:szCs w:val="24"/>
                <w:u w:val="none"/>
                <w:lang w:val="en-US" w:eastAsia="zh-CN" w:bidi="ar"/>
              </w:rPr>
              <w:t>编制单位：锡林郭勒盟科技教育和创新服务中心</w:t>
            </w:r>
          </w:p>
        </w:tc>
        <w:tc>
          <w:tcPr>
            <w:tcW w:w="2645" w:type="dxa"/>
            <w:gridSpan w:val="2"/>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1734" w:type="dxa"/>
            <w:shd w:val="clear" w:color="auto" w:fill="auto"/>
            <w:vAlign w:val="center"/>
          </w:tcPr>
          <w:p>
            <w:pPr>
              <w:rPr>
                <w:rFonts w:hint="eastAsia" w:ascii="宋体" w:hAnsi="宋体" w:eastAsia="宋体" w:cs="宋体"/>
                <w:i w:val="0"/>
                <w:color w:val="000000"/>
                <w:sz w:val="22"/>
                <w:szCs w:val="22"/>
                <w:u w:val="none"/>
              </w:rPr>
            </w:pPr>
          </w:p>
        </w:tc>
        <w:tc>
          <w:tcPr>
            <w:tcW w:w="4262" w:type="dxa"/>
            <w:gridSpan w:val="3"/>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1861"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年初结转和结余</w:t>
            </w:r>
          </w:p>
        </w:tc>
        <w:tc>
          <w:tcPr>
            <w:tcW w:w="78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本年收入</w:t>
            </w:r>
          </w:p>
        </w:tc>
        <w:tc>
          <w:tcPr>
            <w:tcW w:w="4244"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w:t>
            </w:r>
          </w:p>
        </w:tc>
        <w:tc>
          <w:tcPr>
            <w:tcW w:w="175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66"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支出功能分类科目代码</w:t>
            </w:r>
          </w:p>
        </w:tc>
        <w:tc>
          <w:tcPr>
            <w:tcW w:w="4081"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86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78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73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77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基本支出</w:t>
            </w:r>
          </w:p>
        </w:tc>
        <w:tc>
          <w:tcPr>
            <w:tcW w:w="173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项目支出</w:t>
            </w:r>
          </w:p>
        </w:tc>
        <w:tc>
          <w:tcPr>
            <w:tcW w:w="1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66"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4081" w:type="dxa"/>
            <w:gridSpan w:val="2"/>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86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78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734"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777"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733"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66"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4081" w:type="dxa"/>
            <w:gridSpan w:val="2"/>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86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78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734"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777"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733" w:type="dxa"/>
            <w:vMerge w:val="continue"/>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47"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186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7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1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7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173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17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47"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8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7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7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66" w:type="dxa"/>
            <w:gridSpan w:val="2"/>
            <w:tcBorders>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4081" w:type="dxa"/>
            <w:gridSpan w:val="2"/>
            <w:tcBorders>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0"/>
                <w:szCs w:val="20"/>
                <w:u w:val="none"/>
              </w:rPr>
            </w:pPr>
          </w:p>
        </w:tc>
        <w:tc>
          <w:tcPr>
            <w:tcW w:w="1861"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8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734"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777"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c>
          <w:tcPr>
            <w:tcW w:w="1752" w:type="dxa"/>
            <w:tcBorders>
              <w:bottom w:val="single" w:color="000000" w:sz="4" w:space="0"/>
              <w:right w:val="single" w:color="000000" w:sz="4" w:space="0"/>
            </w:tcBorders>
            <w:shd w:val="clear" w:color="auto" w:fill="auto"/>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988" w:type="dxa"/>
            <w:gridSpan w:val="10"/>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注：1.本表反映部门本年度国有资本经营预算财政拨款支出情况。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3988" w:type="dxa"/>
            <w:gridSpan w:val="10"/>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2.国有资本经营预算财政拨款支出决算表如为空表，合计数需填0，并在本表下方说明“本部门（单位）无国有资本经营预算财政拨款收、支、余。”。</w:t>
            </w:r>
          </w:p>
        </w:tc>
      </w:tr>
    </w:tbl>
    <w:p>
      <w:pPr>
        <w:pStyle w:val="2"/>
        <w:rPr>
          <w:rFonts w:hint="default" w:ascii="Calibri" w:hAnsi="Calibri" w:eastAsia="宋体" w:cs="Calibri"/>
          <w:i w:val="0"/>
          <w:color w:val="000000"/>
          <w:kern w:val="0"/>
          <w:sz w:val="24"/>
          <w:szCs w:val="24"/>
          <w:u w:val="none"/>
          <w:lang w:val="en-US" w:eastAsia="zh-CN" w:bidi="ar"/>
        </w:rPr>
      </w:pPr>
    </w:p>
    <w:p>
      <w:pPr>
        <w:pStyle w:val="2"/>
        <w:rPr>
          <w:rFonts w:hint="default" w:ascii="Calibri" w:hAnsi="Calibri" w:eastAsia="宋体" w:cs="Calibri"/>
          <w:i w:val="0"/>
          <w:color w:val="000000"/>
          <w:kern w:val="0"/>
          <w:sz w:val="24"/>
          <w:szCs w:val="24"/>
          <w:u w:val="none"/>
          <w:lang w:val="en-US" w:eastAsia="zh-CN" w:bidi="ar"/>
        </w:rPr>
      </w:pPr>
    </w:p>
    <w:p>
      <w:pPr>
        <w:pStyle w:val="2"/>
        <w:ind w:left="0" w:leftChars="0" w:firstLine="0" w:firstLineChars="0"/>
        <w:rPr>
          <w:rFonts w:hint="eastAsia" w:cs="Calibri"/>
          <w:i w:val="0"/>
          <w:color w:val="000000"/>
          <w:kern w:val="0"/>
          <w:sz w:val="24"/>
          <w:szCs w:val="24"/>
          <w:u w:val="none"/>
          <w:lang w:val="en-US" w:eastAsia="zh-CN" w:bidi="ar"/>
        </w:rPr>
        <w:sectPr>
          <w:pgSz w:w="16838" w:h="11906" w:orient="landscape"/>
          <w:pgMar w:top="1083" w:right="1440" w:bottom="1083" w:left="1440" w:header="0" w:footer="720" w:gutter="0"/>
          <w:cols w:space="425" w:num="1"/>
          <w:docGrid w:type="lines" w:linePitch="312" w:charSpace="0"/>
        </w:sectPr>
      </w:pPr>
      <w:r>
        <w:rPr>
          <w:rFonts w:hint="default" w:ascii="Calibri" w:hAnsi="Calibri" w:eastAsia="宋体" w:cs="Calibri"/>
          <w:i w:val="0"/>
          <w:color w:val="000000"/>
          <w:kern w:val="0"/>
          <w:sz w:val="24"/>
          <w:szCs w:val="24"/>
          <w:u w:val="none"/>
          <w:lang w:val="en-US" w:eastAsia="zh-CN" w:bidi="ar"/>
        </w:rPr>
        <w:t>本单位无国有资本经营预算财政拨款收、支、余</w:t>
      </w:r>
      <w:r>
        <w:rPr>
          <w:rFonts w:hint="eastAsia" w:cs="Calibri"/>
          <w:i w:val="0"/>
          <w:color w:val="000000"/>
          <w:kern w:val="0"/>
          <w:sz w:val="24"/>
          <w:szCs w:val="24"/>
          <w:u w:val="none"/>
          <w:lang w:val="en-US" w:eastAsia="zh-CN" w:bidi="ar"/>
        </w:rPr>
        <w:t>。</w:t>
      </w:r>
    </w:p>
    <w:tbl>
      <w:tblPr>
        <w:tblStyle w:val="2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07"/>
        <w:gridCol w:w="754"/>
        <w:gridCol w:w="1608"/>
        <w:gridCol w:w="734"/>
        <w:gridCol w:w="1649"/>
        <w:gridCol w:w="734"/>
        <w:gridCol w:w="734"/>
        <w:gridCol w:w="3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3988" w:type="dxa"/>
            <w:gridSpan w:val="8"/>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4661" w:type="dxa"/>
            <w:gridSpan w:val="2"/>
            <w:shd w:val="clear" w:color="auto" w:fill="auto"/>
            <w:vAlign w:val="center"/>
          </w:tcPr>
          <w:p>
            <w:pPr>
              <w:rPr>
                <w:rFonts w:hint="eastAsia" w:ascii="宋体" w:hAnsi="宋体" w:eastAsia="宋体" w:cs="宋体"/>
                <w:i w:val="0"/>
                <w:color w:val="000000"/>
                <w:sz w:val="22"/>
                <w:szCs w:val="22"/>
                <w:u w:val="none"/>
              </w:rPr>
            </w:pPr>
          </w:p>
        </w:tc>
        <w:tc>
          <w:tcPr>
            <w:tcW w:w="1608" w:type="dxa"/>
            <w:shd w:val="clear" w:color="auto" w:fill="auto"/>
            <w:vAlign w:val="center"/>
          </w:tcPr>
          <w:p>
            <w:pPr>
              <w:rPr>
                <w:rFonts w:hint="eastAsia" w:ascii="宋体" w:hAnsi="宋体" w:eastAsia="宋体" w:cs="宋体"/>
                <w:i w:val="0"/>
                <w:color w:val="000000"/>
                <w:sz w:val="22"/>
                <w:szCs w:val="22"/>
                <w:u w:val="none"/>
              </w:rPr>
            </w:pPr>
          </w:p>
        </w:tc>
        <w:tc>
          <w:tcPr>
            <w:tcW w:w="734" w:type="dxa"/>
            <w:shd w:val="clear" w:color="auto" w:fill="auto"/>
            <w:vAlign w:val="center"/>
          </w:tcPr>
          <w:p>
            <w:pPr>
              <w:rPr>
                <w:rFonts w:hint="eastAsia" w:ascii="宋体" w:hAnsi="宋体" w:eastAsia="宋体" w:cs="宋体"/>
                <w:i w:val="0"/>
                <w:color w:val="000000"/>
                <w:sz w:val="22"/>
                <w:szCs w:val="22"/>
                <w:u w:val="none"/>
              </w:rPr>
            </w:pPr>
          </w:p>
        </w:tc>
        <w:tc>
          <w:tcPr>
            <w:tcW w:w="1649" w:type="dxa"/>
            <w:shd w:val="clear" w:color="auto" w:fill="auto"/>
            <w:vAlign w:val="center"/>
          </w:tcPr>
          <w:p>
            <w:pPr>
              <w:rPr>
                <w:rFonts w:hint="eastAsia" w:ascii="宋体" w:hAnsi="宋体" w:eastAsia="宋体" w:cs="宋体"/>
                <w:i w:val="0"/>
                <w:color w:val="000000"/>
                <w:sz w:val="22"/>
                <w:szCs w:val="22"/>
                <w:u w:val="none"/>
              </w:rPr>
            </w:pPr>
          </w:p>
        </w:tc>
        <w:tc>
          <w:tcPr>
            <w:tcW w:w="734" w:type="dxa"/>
            <w:shd w:val="clear" w:color="auto" w:fill="auto"/>
            <w:vAlign w:val="center"/>
          </w:tcPr>
          <w:p>
            <w:pPr>
              <w:rPr>
                <w:rFonts w:hint="eastAsia" w:ascii="宋体" w:hAnsi="宋体" w:eastAsia="宋体" w:cs="宋体"/>
                <w:i w:val="0"/>
                <w:color w:val="000000"/>
                <w:sz w:val="22"/>
                <w:szCs w:val="22"/>
                <w:u w:val="none"/>
              </w:rPr>
            </w:pPr>
          </w:p>
        </w:tc>
        <w:tc>
          <w:tcPr>
            <w:tcW w:w="734" w:type="dxa"/>
            <w:shd w:val="clear" w:color="auto" w:fill="auto"/>
            <w:vAlign w:val="center"/>
          </w:tcPr>
          <w:p>
            <w:pPr>
              <w:rPr>
                <w:rFonts w:hint="eastAsia" w:ascii="宋体" w:hAnsi="宋体" w:eastAsia="宋体" w:cs="宋体"/>
                <w:i w:val="0"/>
                <w:color w:val="000000"/>
                <w:sz w:val="22"/>
                <w:szCs w:val="22"/>
                <w:u w:val="none"/>
              </w:rPr>
            </w:pPr>
          </w:p>
        </w:tc>
        <w:tc>
          <w:tcPr>
            <w:tcW w:w="3868"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269" w:type="dxa"/>
            <w:gridSpan w:val="3"/>
            <w:shd w:val="clear" w:color="auto" w:fill="auto"/>
            <w:vAlign w:val="center"/>
          </w:tcPr>
          <w:p>
            <w:pP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4"/>
                <w:szCs w:val="24"/>
                <w:u w:val="none"/>
                <w:lang w:val="en-US" w:eastAsia="zh-CN" w:bidi="ar"/>
              </w:rPr>
              <w:t>编制单位：锡林郭勒盟科技教育和创新服务中心</w:t>
            </w:r>
          </w:p>
        </w:tc>
        <w:tc>
          <w:tcPr>
            <w:tcW w:w="734" w:type="dxa"/>
            <w:shd w:val="clear" w:color="auto" w:fill="auto"/>
            <w:vAlign w:val="center"/>
          </w:tcPr>
          <w:p>
            <w:pPr>
              <w:rPr>
                <w:rFonts w:hint="eastAsia" w:ascii="宋体" w:hAnsi="宋体" w:eastAsia="宋体" w:cs="宋体"/>
                <w:i w:val="0"/>
                <w:color w:val="000000"/>
                <w:sz w:val="22"/>
                <w:szCs w:val="22"/>
                <w:u w:val="none"/>
              </w:rPr>
            </w:pPr>
          </w:p>
        </w:tc>
        <w:tc>
          <w:tcPr>
            <w:tcW w:w="164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734" w:type="dxa"/>
            <w:shd w:val="clear" w:color="auto" w:fill="auto"/>
            <w:vAlign w:val="center"/>
          </w:tcPr>
          <w:p>
            <w:pPr>
              <w:rPr>
                <w:rFonts w:hint="eastAsia" w:ascii="宋体" w:hAnsi="宋体" w:eastAsia="宋体" w:cs="宋体"/>
                <w:i w:val="0"/>
                <w:color w:val="000000"/>
                <w:sz w:val="22"/>
                <w:szCs w:val="22"/>
                <w:u w:val="none"/>
              </w:rPr>
            </w:pPr>
          </w:p>
        </w:tc>
        <w:tc>
          <w:tcPr>
            <w:tcW w:w="734" w:type="dxa"/>
            <w:shd w:val="clear" w:color="auto" w:fill="auto"/>
            <w:vAlign w:val="center"/>
          </w:tcPr>
          <w:p>
            <w:pPr>
              <w:rPr>
                <w:rFonts w:hint="eastAsia" w:ascii="宋体" w:hAnsi="宋体" w:eastAsia="宋体" w:cs="宋体"/>
                <w:i w:val="0"/>
                <w:color w:val="000000"/>
                <w:sz w:val="22"/>
                <w:szCs w:val="22"/>
                <w:u w:val="none"/>
              </w:rPr>
            </w:pPr>
          </w:p>
        </w:tc>
        <w:tc>
          <w:tcPr>
            <w:tcW w:w="3868"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75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行次</w:t>
            </w:r>
          </w:p>
        </w:tc>
        <w:tc>
          <w:tcPr>
            <w:tcW w:w="399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财政拨款</w:t>
            </w:r>
          </w:p>
        </w:tc>
        <w:tc>
          <w:tcPr>
            <w:tcW w:w="5336"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其中：一般公共预算财政拨款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7" w:hRule="atLeast"/>
        </w:trPr>
        <w:tc>
          <w:tcPr>
            <w:tcW w:w="3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75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年初预算数</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全年预算数</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支出统计数</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年初预算数</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全年预算数</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  次</w:t>
            </w:r>
          </w:p>
        </w:tc>
        <w:tc>
          <w:tcPr>
            <w:tcW w:w="75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一、“三公”经费支出</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（一）支出合计</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1．因公出国（境）费</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2．公务用车购置及运行维护费</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（1）公务用车购置费</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（2）公务用车运行维护费</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0.80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3．公务接待费</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（1）国内接待费</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1608"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c>
          <w:tcPr>
            <w:tcW w:w="734"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c>
          <w:tcPr>
            <w:tcW w:w="734"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其中：外事接待费</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w:t>
            </w:r>
          </w:p>
        </w:tc>
        <w:tc>
          <w:tcPr>
            <w:tcW w:w="1608"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c>
          <w:tcPr>
            <w:tcW w:w="734"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c>
          <w:tcPr>
            <w:tcW w:w="734"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（2）国（境）外接待费</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（二）相关统计数</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1．因公出国（境）团组数（个）</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2．因公出国（境）人次数（人）</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3．公务用车购置数（辆）</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14</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4．公务用车保有量（辆）</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5．国内公务接待批次（个）</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其中：外事接待批次（个）</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6．国内公务接待人次（人）</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其中：外事接待人次（人）</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19</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7．国（境）外公务接待批次（个）</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9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8．国（境）外公务接待人次（人）</w:t>
            </w:r>
          </w:p>
        </w:tc>
        <w:tc>
          <w:tcPr>
            <w:tcW w:w="7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w:t>
            </w:r>
          </w:p>
        </w:tc>
        <w:tc>
          <w:tcPr>
            <w:tcW w:w="160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164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7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38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bl>
    <w:p>
      <w:pPr>
        <w:sectPr>
          <w:pgSz w:w="16838" w:h="11906" w:orient="landscape"/>
          <w:pgMar w:top="1083" w:right="1440" w:bottom="1083" w:left="1440" w:header="0" w:footer="720" w:gutter="0"/>
          <w:cols w:space="425" w:num="1"/>
          <w:docGrid w:type="lines" w:linePitch="312" w:charSpace="0"/>
        </w:sectPr>
      </w:pPr>
    </w:p>
    <w:tbl>
      <w:tblPr>
        <w:tblStyle w:val="2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38"/>
        <w:gridCol w:w="1112"/>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3988" w:type="dxa"/>
            <w:gridSpan w:val="3"/>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机构运行经费支出、国有资产占用情况及政府采购支出信息表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550" w:type="dxa"/>
            <w:gridSpan w:val="2"/>
            <w:shd w:val="clear" w:color="auto" w:fill="auto"/>
            <w:vAlign w:val="center"/>
          </w:tcPr>
          <w:p>
            <w:pPr>
              <w:rPr>
                <w:rFonts w:hint="eastAsia" w:ascii="宋体" w:hAnsi="宋体" w:eastAsia="宋体" w:cs="宋体"/>
                <w:i w:val="0"/>
                <w:color w:val="000000"/>
                <w:sz w:val="22"/>
                <w:szCs w:val="22"/>
                <w:u w:val="none"/>
              </w:rPr>
            </w:pPr>
          </w:p>
        </w:tc>
        <w:tc>
          <w:tcPr>
            <w:tcW w:w="6438"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6438"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编制单位：锡林郭勒盟科技教育和创新服务中心</w:t>
            </w:r>
          </w:p>
        </w:tc>
        <w:tc>
          <w:tcPr>
            <w:tcW w:w="1112"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6438"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  目</w:t>
            </w:r>
          </w:p>
        </w:tc>
        <w:tc>
          <w:tcPr>
            <w:tcW w:w="111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行次</w:t>
            </w:r>
          </w:p>
        </w:tc>
        <w:tc>
          <w:tcPr>
            <w:tcW w:w="64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  次</w:t>
            </w:r>
          </w:p>
        </w:tc>
        <w:tc>
          <w:tcPr>
            <w:tcW w:w="111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一、机关运行经费</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（一）行政单位</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（二）参照公务员法管理事业单位</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二、资产信息</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6438"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（一）车辆数合计（辆）</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1．副部（省）级及以上领导用车</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2．主要负责人用车</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3．机要通信用车</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4．应急保障用车</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5．执法执勤用车</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6．特种专业技术用车</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7．离退休干部服务用车</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8．其他用车</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（二）单价100万元（含）以上设备（不含车辆）</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14</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三、政府采购支出信息</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w:t>
            </w:r>
          </w:p>
        </w:tc>
        <w:tc>
          <w:tcPr>
            <w:tcW w:w="6438" w:type="dxa"/>
            <w:tcBorders>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（一）政府采购支出合计</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1．政府采购货物支出</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2．政府采购工程支出</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3．政府采购服务支出</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19</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（二）政府采购授予中小企业合同金额</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其中：授予小微企业合同金额</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w:t>
            </w:r>
          </w:p>
        </w:tc>
        <w:tc>
          <w:tcPr>
            <w:tcW w:w="6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bl>
    <w:p>
      <w:pPr>
        <w:pStyle w:val="2"/>
        <w:ind w:left="0" w:leftChars="0" w:firstLine="0" w:firstLineChars="0"/>
        <w:rPr>
          <w:rFonts w:hint="eastAsia"/>
          <w:lang w:eastAsia="zh-CN"/>
        </w:rPr>
      </w:pPr>
      <w:r>
        <w:rPr>
          <w:rFonts w:hint="eastAsia"/>
          <w:lang w:eastAsia="zh-CN"/>
        </w:rPr>
        <w:t>本单位无</w:t>
      </w:r>
      <w:r>
        <w:rPr>
          <w:rFonts w:hint="default"/>
          <w:lang w:val="en-US" w:eastAsia="zh-CN"/>
        </w:rPr>
        <w:t>机构运行经费支出、国有资产占用情况及政府采购支出信息</w:t>
      </w:r>
      <w:r>
        <w:rPr>
          <w:rFonts w:hint="eastAsia"/>
          <w:lang w:val="en-US" w:eastAsia="zh-CN"/>
        </w:rPr>
        <w:t>。</w:t>
      </w:r>
    </w:p>
    <w:sectPr>
      <w:pgSz w:w="16838" w:h="11906" w:orient="landscape"/>
      <w:pgMar w:top="567" w:right="1213" w:bottom="567" w:left="1440"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times_new_rom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24</w:t>
    </w:r>
    <w:r>
      <w:rPr>
        <w:lang w:val="zh-CN"/>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FFA9C"/>
    <w:multiLevelType w:val="singleLevel"/>
    <w:tmpl w:val="61AFFA9C"/>
    <w:lvl w:ilvl="0" w:tentative="0">
      <w:start w:val="1"/>
      <w:numFmt w:val="chineseCounting"/>
      <w:suff w:val="nothing"/>
      <w:lvlText w:val="（%1）"/>
      <w:lvlJc w:val="left"/>
      <w:rPr>
        <w:rFonts w:hint="eastAsia"/>
      </w:rPr>
    </w:lvl>
  </w:abstractNum>
  <w:abstractNum w:abstractNumId="1">
    <w:nsid w:val="7C67F0A3"/>
    <w:multiLevelType w:val="singleLevel"/>
    <w:tmpl w:val="7C67F0A3"/>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917C7"/>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257435BB"/>
    <w:rsid w:val="322E4355"/>
    <w:rsid w:val="347452E2"/>
    <w:rsid w:val="3FA422E4"/>
    <w:rsid w:val="426A64F2"/>
    <w:rsid w:val="4E1318C3"/>
    <w:rsid w:val="705D1107"/>
    <w:rsid w:val="7D5A48D0"/>
    <w:rsid w:val="7FFF9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1"/>
    <w:qFormat/>
    <w:uiPriority w:val="0"/>
    <w:pPr>
      <w:keepNext/>
      <w:keepLines/>
      <w:spacing w:before="260" w:after="260" w:line="416" w:lineRule="auto"/>
      <w:outlineLvl w:val="2"/>
    </w:pPr>
    <w:rPr>
      <w:b/>
      <w:bCs/>
      <w:sz w:val="32"/>
      <w:szCs w:val="32"/>
    </w:rPr>
  </w:style>
  <w:style w:type="paragraph" w:styleId="7">
    <w:name w:val="heading 4"/>
    <w:basedOn w:val="1"/>
    <w:next w:val="1"/>
    <w:link w:val="26"/>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rPr>
  </w:style>
  <w:style w:type="paragraph" w:styleId="3">
    <w:name w:val="Body Text Indent"/>
    <w:basedOn w:val="1"/>
    <w:next w:val="2"/>
    <w:qFormat/>
    <w:uiPriority w:val="0"/>
    <w:pPr>
      <w:spacing w:after="120"/>
      <w:ind w:left="420" w:leftChars="200"/>
    </w:pPr>
  </w:style>
  <w:style w:type="paragraph" w:styleId="8">
    <w:name w:val="toc 7"/>
    <w:basedOn w:val="1"/>
    <w:next w:val="1"/>
    <w:qFormat/>
    <w:uiPriority w:val="0"/>
    <w:pPr>
      <w:ind w:left="1260"/>
      <w:jc w:val="left"/>
    </w:pPr>
    <w:rPr>
      <w:sz w:val="20"/>
      <w:szCs w:val="20"/>
    </w:rPr>
  </w:style>
  <w:style w:type="paragraph" w:styleId="9">
    <w:name w:val="Normal Indent"/>
    <w:basedOn w:val="1"/>
    <w:qFormat/>
    <w:uiPriority w:val="0"/>
    <w:pPr>
      <w:ind w:firstLine="420" w:firstLineChars="200"/>
    </w:pPr>
  </w:style>
  <w:style w:type="paragraph" w:styleId="10">
    <w:name w:val="Document Map"/>
    <w:basedOn w:val="1"/>
    <w:qFormat/>
    <w:uiPriority w:val="0"/>
    <w:pPr>
      <w:shd w:val="clear" w:color="auto" w:fill="000080"/>
    </w:pPr>
  </w:style>
  <w:style w:type="paragraph" w:styleId="11">
    <w:name w:val="Body Text"/>
    <w:basedOn w:val="1"/>
    <w:qFormat/>
    <w:uiPriority w:val="0"/>
    <w:rPr>
      <w:rFonts w:ascii="Arial" w:hAnsi="Arial" w:eastAsia="Arial" w:cs="Arial"/>
      <w:sz w:val="21"/>
      <w:szCs w:val="21"/>
      <w:lang w:val="en-US" w:eastAsia="en-US" w:bidi="ar-SA"/>
    </w:rPr>
  </w:style>
  <w:style w:type="paragraph" w:styleId="12">
    <w:name w:val="toc 5"/>
    <w:basedOn w:val="1"/>
    <w:next w:val="1"/>
    <w:qFormat/>
    <w:uiPriority w:val="0"/>
    <w:pPr>
      <w:ind w:left="840"/>
      <w:jc w:val="left"/>
    </w:pPr>
    <w:rPr>
      <w:sz w:val="20"/>
      <w:szCs w:val="20"/>
    </w:rPr>
  </w:style>
  <w:style w:type="paragraph" w:styleId="13">
    <w:name w:val="toc 3"/>
    <w:basedOn w:val="1"/>
    <w:next w:val="1"/>
    <w:qFormat/>
    <w:uiPriority w:val="0"/>
    <w:pPr>
      <w:adjustRightInd w:val="0"/>
      <w:snapToGrid w:val="0"/>
      <w:spacing w:line="360" w:lineRule="auto"/>
      <w:ind w:firstLine="400" w:firstLineChars="400"/>
      <w:jc w:val="left"/>
    </w:pPr>
    <w:rPr>
      <w:sz w:val="24"/>
      <w:szCs w:val="20"/>
    </w:rPr>
  </w:style>
  <w:style w:type="paragraph" w:styleId="14">
    <w:name w:val="toc 8"/>
    <w:basedOn w:val="1"/>
    <w:next w:val="1"/>
    <w:qFormat/>
    <w:uiPriority w:val="0"/>
    <w:pPr>
      <w:ind w:left="1470"/>
      <w:jc w:val="left"/>
    </w:pPr>
    <w:rPr>
      <w:sz w:val="20"/>
      <w:szCs w:val="20"/>
    </w:rPr>
  </w:style>
  <w:style w:type="paragraph" w:styleId="15">
    <w:name w:val="footer"/>
    <w:basedOn w:val="1"/>
    <w:link w:val="29"/>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adjustRightInd w:val="0"/>
      <w:snapToGrid w:val="0"/>
      <w:spacing w:line="360" w:lineRule="auto"/>
      <w:jc w:val="left"/>
    </w:pPr>
    <w:rPr>
      <w:b/>
      <w:bCs/>
      <w:sz w:val="24"/>
      <w:szCs w:val="20"/>
    </w:rPr>
  </w:style>
  <w:style w:type="paragraph" w:styleId="18">
    <w:name w:val="toc 4"/>
    <w:basedOn w:val="1"/>
    <w:next w:val="1"/>
    <w:qFormat/>
    <w:uiPriority w:val="0"/>
    <w:pPr>
      <w:ind w:left="630"/>
      <w:jc w:val="left"/>
    </w:pPr>
    <w:rPr>
      <w:sz w:val="20"/>
      <w:szCs w:val="20"/>
    </w:rPr>
  </w:style>
  <w:style w:type="paragraph" w:styleId="19">
    <w:name w:val="toc 6"/>
    <w:basedOn w:val="1"/>
    <w:next w:val="1"/>
    <w:qFormat/>
    <w:uiPriority w:val="0"/>
    <w:pPr>
      <w:ind w:left="1050"/>
      <w:jc w:val="left"/>
    </w:pPr>
    <w:rPr>
      <w:sz w:val="20"/>
      <w:szCs w:val="20"/>
    </w:rPr>
  </w:style>
  <w:style w:type="paragraph" w:styleId="20">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21">
    <w:name w:val="toc 9"/>
    <w:basedOn w:val="1"/>
    <w:next w:val="1"/>
    <w:qFormat/>
    <w:uiPriority w:val="0"/>
    <w:pPr>
      <w:ind w:left="1680"/>
      <w:jc w:val="left"/>
    </w:pPr>
    <w:rPr>
      <w:sz w:val="20"/>
      <w:szCs w:val="20"/>
    </w:r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customStyle="1" w:styleId="26">
    <w:name w:val="标题 4 字符"/>
    <w:basedOn w:val="23"/>
    <w:link w:val="7"/>
    <w:qFormat/>
    <w:uiPriority w:val="0"/>
    <w:rPr>
      <w:rFonts w:ascii="Cambria" w:hAnsi="Cambria"/>
      <w:b/>
      <w:bCs/>
      <w:kern w:val="2"/>
      <w:sz w:val="28"/>
      <w:szCs w:val="28"/>
    </w:rPr>
  </w:style>
  <w:style w:type="paragraph" w:styleId="27">
    <w:name w:val="No Spacing"/>
    <w:link w:val="28"/>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8">
    <w:name w:val="无间隔 字符"/>
    <w:link w:val="27"/>
    <w:qFormat/>
    <w:locked/>
    <w:uiPriority w:val="0"/>
    <w:rPr>
      <w:rFonts w:eastAsia="仿宋_GB2312"/>
      <w:sz w:val="30"/>
      <w:szCs w:val="22"/>
      <w:lang w:bidi="ar-SA"/>
    </w:rPr>
  </w:style>
  <w:style w:type="character" w:customStyle="1" w:styleId="29">
    <w:name w:val="页脚 字符"/>
    <w:basedOn w:val="23"/>
    <w:link w:val="15"/>
    <w:qFormat/>
    <w:uiPriority w:val="0"/>
    <w:rPr>
      <w:kern w:val="2"/>
      <w:sz w:val="18"/>
      <w:szCs w:val="18"/>
    </w:rPr>
  </w:style>
  <w:style w:type="paragraph" w:styleId="30">
    <w:name w:val="List Paragraph"/>
    <w:basedOn w:val="1"/>
    <w:qFormat/>
    <w:uiPriority w:val="0"/>
    <w:pPr>
      <w:ind w:firstLine="420" w:firstLineChars="200"/>
    </w:pPr>
  </w:style>
  <w:style w:type="character" w:customStyle="1" w:styleId="31">
    <w:name w:val="标题 3 字符"/>
    <w:basedOn w:val="23"/>
    <w:link w:val="6"/>
    <w:qFormat/>
    <w:uiPriority w:val="0"/>
    <w:rPr>
      <w:b/>
      <w:bCs/>
      <w:kern w:val="2"/>
      <w:sz w:val="32"/>
      <w:szCs w:val="32"/>
    </w:rPr>
  </w:style>
  <w:style w:type="table" w:customStyle="1" w:styleId="32">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40644;&#32418;&#29748;\Desktop\&#20915;&#31639;\2023&#24180;&#20915;&#31639;\2023&#24180;&#20915;&#31639;\&#31185;&#21019;2023&#24180;&#20915;&#31639;&#25253;&#21578;\1--&#31185;&#2101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40644;&#32418;&#29748;\Desktop\&#20915;&#31639;\2023&#24180;&#20915;&#31639;\2023&#24180;&#20915;&#31639;\&#31185;&#21019;2023&#24180;&#20915;&#31639;&#25253;&#21578;\1--&#31185;&#21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收入决算图</a:t>
            </a:r>
          </a:p>
        </c:rich>
      </c:tx>
      <c:layout/>
      <c:overlay val="0"/>
      <c:spPr>
        <a:noFill/>
        <a:ln>
          <a:noFill/>
        </a:ln>
        <a:effectLst/>
      </c:spPr>
    </c:title>
    <c:autoTitleDeleted val="0"/>
    <c:plotArea>
      <c:layout/>
      <c:pieChart>
        <c:varyColors val="1"/>
        <c:ser>
          <c:idx val="0"/>
          <c:order val="0"/>
          <c:spPr>
            <a:effectLst/>
            <a:sp3d contourW="12700"/>
          </c:spPr>
          <c:explosion val="3"/>
          <c:dPt>
            <c:idx val="0"/>
            <c:bubble3D val="0"/>
            <c:spPr>
              <a:solidFill>
                <a:schemeClr val="accent6"/>
              </a:solidFill>
              <a:ln w="19050">
                <a:solidFill>
                  <a:schemeClr val="lt1"/>
                </a:solidFill>
              </a:ln>
              <a:effectLst/>
              <a:sp3d contourW="12700"/>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'[1--科创.xlsx]Sheet4'!$A$2</c:f>
              <c:strCache>
                <c:ptCount val="1"/>
                <c:pt idx="0">
                  <c:v>本年一般公共预算财政拨款收入</c:v>
                </c:pt>
              </c:strCache>
            </c:strRef>
          </c:cat>
          <c:val>
            <c:numRef>
              <c:f>'[1--科创.xlsx]Sheet4'!$B$2</c:f>
              <c:numCache>
                <c:formatCode>General</c:formatCode>
                <c:ptCount val="1"/>
                <c:pt idx="0">
                  <c:v>85.41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支出决算图</a:t>
            </a:r>
          </a:p>
        </c:rich>
      </c:tx>
      <c:layout/>
      <c:overlay val="0"/>
      <c:spPr>
        <a:noFill/>
        <a:ln>
          <a:noFill/>
        </a:ln>
        <a:effectLst/>
      </c:spPr>
    </c:title>
    <c:autoTitleDeleted val="0"/>
    <c:plotArea>
      <c:layout/>
      <c:pieChart>
        <c:varyColors val="1"/>
        <c:ser>
          <c:idx val="0"/>
          <c:order val="0"/>
          <c:spPr>
            <a:effectLst/>
            <a:sp3d contourW="12700"/>
          </c:spPr>
          <c:explosion val="3"/>
          <c:dPt>
            <c:idx val="0"/>
            <c:bubble3D val="0"/>
            <c:spPr>
              <a:solidFill>
                <a:schemeClr val="accent2"/>
              </a:solidFill>
              <a:ln w="19050">
                <a:solidFill>
                  <a:schemeClr val="lt1"/>
                </a:solidFill>
              </a:ln>
              <a:effectLst/>
              <a:sp3d contourW="12700"/>
            </c:spPr>
          </c:dPt>
          <c:dPt>
            <c:idx val="1"/>
            <c:bubble3D val="0"/>
            <c:spPr>
              <a:solidFill>
                <a:schemeClr val="accent4"/>
              </a:solidFill>
              <a:ln w="19050">
                <a:solidFill>
                  <a:schemeClr val="lt1"/>
                </a:solidFill>
              </a:ln>
              <a:effectLst/>
              <a:sp3d contourW="12700"/>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1"/>
              <c:layout>
                <c:manualLayout>
                  <c:x val="-0.0236842105263158"/>
                  <c:y val="0"/>
                </c:manualLayout>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'[1--科创.xlsx]Sheet4'!$A$2:$A$3</c:f>
              <c:strCache>
                <c:ptCount val="2"/>
                <c:pt idx="0">
                  <c:v>本年基本支出</c:v>
                </c:pt>
                <c:pt idx="1">
                  <c:v>本年项目支出</c:v>
                </c:pt>
              </c:strCache>
            </c:strRef>
          </c:cat>
          <c:val>
            <c:numRef>
              <c:f>'[1--科创.xlsx]Sheet4'!$B$2:$B$3</c:f>
              <c:numCache>
                <c:formatCode>General</c:formatCode>
                <c:ptCount val="2"/>
                <c:pt idx="0">
                  <c:v>84.57</c:v>
                </c:pt>
                <c:pt idx="1">
                  <c:v>0.86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12198</Words>
  <Characters>15831</Characters>
  <Lines>1</Lines>
  <Paragraphs>1</Paragraphs>
  <TotalTime>21</TotalTime>
  <ScaleCrop>false</ScaleCrop>
  <LinksUpToDate>false</LinksUpToDate>
  <CharactersWithSpaces>16564</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2022-03-23T20:40:00Z</dcterms:created>
  <dc:creator>Administrator</dc:creator>
  <cp:lastModifiedBy>黄红琴</cp:lastModifiedBy>
  <cp:lastPrinted>2021-04-16T08:45:00Z</cp:lastPrinted>
  <dcterms:modified xsi:type="dcterms:W3CDTF">2024-11-07T02:50:26Z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ICV">
    <vt:lpwstr>6CECB0E89DADB208D71E2C67E7E3F268</vt:lpwstr>
  </property>
</Properties>
</file>