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sz w:val="24"/>
        </w:rPr>
      </w:pPr>
    </w:p>
    <w:p>
      <w:pPr>
        <w:spacing w:line="360" w:lineRule="auto"/>
        <w:jc w:val="center"/>
        <w:rPr>
          <w:rFonts w:ascii="宋体" w:hAnsi="宋体"/>
          <w:sz w:val="24"/>
        </w:rPr>
      </w:pPr>
    </w:p>
    <w:p>
      <w:pPr>
        <w:spacing w:line="360" w:lineRule="auto"/>
        <w:jc w:val="center"/>
        <w:rPr>
          <w:rFonts w:ascii="宋体" w:hAnsi="宋体"/>
          <w:sz w:val="24"/>
        </w:rPr>
      </w:pPr>
    </w:p>
    <w:p>
      <w:pPr>
        <w:spacing w:line="360" w:lineRule="auto"/>
        <w:jc w:val="center"/>
        <w:rPr>
          <w:rFonts w:ascii="宋体" w:hAnsi="宋体"/>
          <w:sz w:val="24"/>
        </w:rPr>
      </w:pPr>
    </w:p>
    <w:p>
      <w:pPr>
        <w:spacing w:line="360" w:lineRule="auto"/>
        <w:jc w:val="center"/>
        <w:rPr>
          <w:rFonts w:ascii="宋体" w:hAnsi="宋体"/>
          <w:b/>
          <w:bCs/>
          <w:sz w:val="52"/>
          <w:szCs w:val="52"/>
        </w:rPr>
      </w:pPr>
      <w:r>
        <w:rPr>
          <w:rFonts w:ascii="宋体" w:hAnsi="宋体"/>
          <w:b/>
          <w:bCs/>
          <w:sz w:val="52"/>
          <w:szCs w:val="52"/>
        </w:rPr>
        <w:t>2023</w:t>
      </w:r>
      <w:r>
        <w:rPr>
          <w:rFonts w:hint="eastAsia" w:ascii="宋体" w:hAnsi="宋体"/>
          <w:b/>
          <w:bCs/>
          <w:sz w:val="52"/>
          <w:szCs w:val="52"/>
        </w:rPr>
        <w:t>年度锡林郭勒盟科学技术协会（本级）</w:t>
      </w:r>
    </w:p>
    <w:p>
      <w:pPr>
        <w:spacing w:line="360" w:lineRule="auto"/>
        <w:jc w:val="center"/>
        <w:rPr>
          <w:rFonts w:ascii="宋体" w:hAnsi="宋体"/>
          <w:b/>
          <w:bCs/>
          <w:sz w:val="52"/>
          <w:szCs w:val="52"/>
        </w:rPr>
      </w:pPr>
      <w:r>
        <w:rPr>
          <w:rFonts w:hint="eastAsia" w:ascii="宋体" w:hAnsi="宋体"/>
          <w:b/>
          <w:bCs/>
          <w:sz w:val="52"/>
          <w:szCs w:val="52"/>
        </w:rPr>
        <w:t>公开文档</w:t>
      </w:r>
    </w:p>
    <w:p>
      <w:pPr>
        <w:spacing w:line="360" w:lineRule="auto"/>
        <w:jc w:val="center"/>
        <w:rPr>
          <w:rFonts w:ascii="宋体" w:hAnsi="宋体"/>
          <w:b/>
          <w:bCs/>
          <w:sz w:val="52"/>
          <w:szCs w:val="52"/>
        </w:rPr>
      </w:pPr>
    </w:p>
    <w:p>
      <w:pPr>
        <w:spacing w:line="360" w:lineRule="auto"/>
        <w:jc w:val="center"/>
        <w:rPr>
          <w:rFonts w:ascii="宋体" w:hAnsi="宋体"/>
          <w:b/>
          <w:bCs/>
          <w:sz w:val="52"/>
          <w:szCs w:val="52"/>
        </w:rPr>
      </w:pPr>
    </w:p>
    <w:p>
      <w:pPr>
        <w:spacing w:line="360" w:lineRule="auto"/>
        <w:jc w:val="center"/>
        <w:rPr>
          <w:rFonts w:ascii="宋体" w:hAnsi="宋体"/>
          <w:b/>
          <w:bCs/>
          <w:sz w:val="52"/>
          <w:szCs w:val="52"/>
        </w:rPr>
      </w:pPr>
    </w:p>
    <w:p>
      <w:pPr>
        <w:spacing w:line="360" w:lineRule="auto"/>
        <w:jc w:val="center"/>
        <w:rPr>
          <w:rFonts w:ascii="宋体" w:hAnsi="宋体"/>
          <w:b/>
          <w:bCs/>
          <w:sz w:val="52"/>
          <w:szCs w:val="52"/>
        </w:rPr>
      </w:pPr>
    </w:p>
    <w:p>
      <w:pPr>
        <w:spacing w:line="360" w:lineRule="auto"/>
        <w:jc w:val="center"/>
        <w:rPr>
          <w:rFonts w:ascii="宋体" w:hAnsi="宋体"/>
          <w:b/>
          <w:bCs/>
          <w:sz w:val="52"/>
          <w:szCs w:val="52"/>
        </w:rPr>
      </w:pPr>
    </w:p>
    <w:p>
      <w:pPr>
        <w:spacing w:line="360" w:lineRule="auto"/>
        <w:ind w:firstLine="2240" w:firstLineChars="700"/>
        <w:jc w:val="left"/>
        <w:rPr>
          <w:rFonts w:ascii="宋体" w:hAnsi="宋体"/>
          <w:sz w:val="32"/>
          <w:szCs w:val="32"/>
        </w:rPr>
      </w:pPr>
      <w:r>
        <w:rPr>
          <w:rFonts w:hint="eastAsia" w:ascii="宋体" w:hAnsi="宋体"/>
          <w:sz w:val="32"/>
          <w:szCs w:val="32"/>
        </w:rPr>
        <w:t>部门（单位）名称：锡林郭勒盟科学技术协会（本级）</w:t>
      </w:r>
    </w:p>
    <w:p>
      <w:pPr>
        <w:spacing w:line="360" w:lineRule="auto"/>
        <w:ind w:firstLine="2240" w:firstLineChars="700"/>
        <w:jc w:val="left"/>
        <w:rPr>
          <w:rFonts w:ascii="宋体" w:hAnsi="宋体"/>
          <w:sz w:val="32"/>
          <w:szCs w:val="32"/>
        </w:rPr>
      </w:pPr>
      <w:r>
        <w:rPr>
          <w:rFonts w:hint="eastAsia" w:ascii="宋体" w:hAnsi="宋体"/>
          <w:sz w:val="32"/>
          <w:szCs w:val="32"/>
        </w:rPr>
        <w:t>单位负责人：领柱</w:t>
      </w:r>
    </w:p>
    <w:p>
      <w:pPr>
        <w:spacing w:line="360" w:lineRule="auto"/>
        <w:ind w:firstLine="2240" w:firstLineChars="700"/>
        <w:jc w:val="left"/>
        <w:rPr>
          <w:rFonts w:ascii="宋体" w:hAnsi="宋体"/>
          <w:sz w:val="32"/>
          <w:szCs w:val="32"/>
        </w:rPr>
      </w:pPr>
      <w:r>
        <w:rPr>
          <w:rFonts w:hint="eastAsia" w:ascii="宋体" w:hAnsi="宋体"/>
          <w:sz w:val="32"/>
          <w:szCs w:val="32"/>
        </w:rPr>
        <w:t>财务负责人：韩阳</w:t>
      </w:r>
    </w:p>
    <w:p>
      <w:pPr>
        <w:spacing w:line="360" w:lineRule="auto"/>
        <w:ind w:firstLine="2240" w:firstLineChars="700"/>
        <w:jc w:val="left"/>
        <w:rPr>
          <w:rFonts w:ascii="宋体" w:hAnsi="宋体"/>
          <w:sz w:val="32"/>
          <w:szCs w:val="32"/>
        </w:rPr>
      </w:pPr>
      <w:r>
        <w:rPr>
          <w:rFonts w:hint="eastAsia" w:ascii="宋体" w:hAnsi="宋体"/>
          <w:sz w:val="32"/>
          <w:szCs w:val="32"/>
        </w:rPr>
        <w:t>编制人：黄红琴</w:t>
      </w:r>
    </w:p>
    <w:p>
      <w:pPr>
        <w:spacing w:line="360" w:lineRule="auto"/>
        <w:ind w:firstLine="2240" w:firstLineChars="700"/>
        <w:jc w:val="left"/>
        <w:rPr>
          <w:rFonts w:ascii="宋体" w:hAnsi="宋体"/>
          <w:sz w:val="32"/>
          <w:szCs w:val="32"/>
        </w:rPr>
      </w:pPr>
      <w:r>
        <w:rPr>
          <w:rFonts w:hint="eastAsia" w:ascii="宋体" w:hAnsi="宋体"/>
          <w:sz w:val="32"/>
          <w:szCs w:val="32"/>
        </w:rPr>
        <w:t>报送日期：</w:t>
      </w:r>
      <w:r>
        <w:rPr>
          <w:rFonts w:ascii="宋体" w:hAnsi="宋体"/>
          <w:sz w:val="32"/>
          <w:szCs w:val="32"/>
        </w:rPr>
        <w:t>2024</w:t>
      </w:r>
      <w:r>
        <w:rPr>
          <w:rFonts w:hint="eastAsia" w:ascii="宋体" w:hAnsi="宋体"/>
          <w:sz w:val="32"/>
          <w:szCs w:val="32"/>
        </w:rPr>
        <w:t>年10月</w:t>
      </w:r>
    </w:p>
    <w:p>
      <w:pPr>
        <w:ind w:firstLine="2249" w:firstLineChars="700"/>
        <w:rPr>
          <w:rFonts w:ascii="仿宋" w:hAnsi="仿宋" w:eastAsia="仿宋"/>
          <w:b/>
          <w:sz w:val="32"/>
          <w:szCs w:val="32"/>
        </w:rPr>
        <w:sectPr>
          <w:footerReference r:id="rId3" w:type="default"/>
          <w:pgSz w:w="11906" w:h="16838"/>
          <w:pgMar w:top="1440" w:right="1083" w:bottom="1440" w:left="1083" w:header="0" w:footer="720" w:gutter="0"/>
          <w:cols w:space="425" w:num="1"/>
          <w:docGrid w:type="lines" w:linePitch="312" w:charSpace="0"/>
        </w:sectPr>
      </w:pPr>
    </w:p>
    <w:p>
      <w:pPr>
        <w:pStyle w:val="4"/>
      </w:pPr>
      <w:r>
        <w:rPr>
          <w:rFonts w:hint="eastAsia"/>
        </w:rPr>
        <w:t>公开文档</w:t>
      </w:r>
    </w:p>
    <w:p>
      <w:pPr>
        <w:widowControl/>
        <w:spacing w:after="240"/>
        <w:jc w:val="center"/>
        <w:rPr>
          <w:rFonts w:ascii="Times New Roman" w:hAnsi="Times New Roman" w:eastAsia="Times New Roman" w:cs="Times New Roman"/>
          <w:kern w:val="0"/>
          <w:sz w:val="24"/>
        </w:rPr>
      </w:pPr>
      <w:bookmarkStart w:id="0" w:name="a000"/>
      <w:r>
        <w:rPr>
          <w:rFonts w:ascii="fang_song_gb2312" w:hAnsi="fang_song_gb2312" w:eastAsia="fang_song_gb2312" w:cs="fang_song_gb2312"/>
          <w:b/>
          <w:bCs/>
          <w:kern w:val="0"/>
          <w:sz w:val="54"/>
          <w:szCs w:val="54"/>
        </w:rPr>
        <w:t>目 录</w:t>
      </w:r>
    </w:p>
    <w:p>
      <w:pPr>
        <w:widowControl/>
        <w:spacing w:before="240" w:after="240"/>
        <w:jc w:val="left"/>
        <w:rPr>
          <w:rFonts w:ascii="Times New Roman" w:hAnsi="Times New Roman" w:eastAsia="Times New Roman" w:cs="Times New Roman"/>
          <w:kern w:val="0"/>
          <w:sz w:val="24"/>
        </w:rPr>
      </w:pPr>
      <w:r>
        <w:rPr>
          <w:rFonts w:ascii="Times New Roman" w:hAnsi="Times New Roman" w:eastAsia="Times New Roman" w:cs="Times New Roman"/>
          <w:b/>
          <w:bCs/>
          <w:kern w:val="0"/>
          <w:sz w:val="24"/>
        </w:rPr>
        <w:t> </w:t>
      </w:r>
    </w:p>
    <w:p>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第一部分 单位概况</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一、主要职能、职责</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二、单位机构设置及决算单位构成情况</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三、</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年度单位主要工作完成情况</w:t>
      </w:r>
    </w:p>
    <w:p>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第二部分 单位决算情况说明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一、收入支出决算总体情况说明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二、收入决算情况说明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三、支出决算情况说明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四、财政拨款收入支出决算总体情况说明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五、一般公共预算财政拨款支出决算情况说明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六、一般公共预算财政拨款基本支出决算情况说明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七、一般公共预算财政拨款项目支出决算情况说明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八、财政拨款“三公”经费支出决算情况说明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九、政府性基金预算财政拨款支出决算情况说明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十、国有资本经营预算财政拨款支出决算情况说明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十一、机构运行经费支出决算情况说明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十二、政府采购支出决算情况说明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十三、国有资产占用情况说明</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十四、预算绩效情况说明</w:t>
      </w:r>
    </w:p>
    <w:p>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第三部分 名词解释</w:t>
      </w:r>
    </w:p>
    <w:p>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第四部分 决算公开联系方式及信息反馈渠道</w:t>
      </w:r>
    </w:p>
    <w:p>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第五部分 单位决算表</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一、收入支出决算总表</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二、收入决算表</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三、支出决算表</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四、财政拨款收入支出决算总表</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五、一般公共预算财政拨款支出决算表</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六、一般公共预算财政拨款基本支出决算明细表</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七、一般公共预算财政拨款项目支出决算明细表</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八、政府性基金预算财政拨款收入支出决算表</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九、国有资本经营预算财政拨款支出决算表</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十、财政拨款“三公”经费支出决算表</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十一、机构运行经费支出、国有资产占用情况及政府采购支出信息表</w:t>
      </w:r>
    </w:p>
    <w:p>
      <w:pPr>
        <w:widowControl/>
        <w:spacing w:before="240" w:after="240"/>
        <w:rPr>
          <w:rFonts w:ascii="Times New Roman" w:hAnsi="Times New Roman" w:eastAsia="Times New Roman" w:cs="Times New Roman"/>
          <w:kern w:val="0"/>
          <w:sz w:val="24"/>
        </w:rPr>
      </w:pPr>
    </w:p>
    <w:p>
      <w:pPr>
        <w:widowControl/>
        <w:spacing w:before="240" w:after="240"/>
        <w:jc w:val="center"/>
        <w:rPr>
          <w:rFonts w:ascii="fang_zheng_xiao_biao_song_ti" w:hAnsi="fang_zheng_xiao_biao_song_ti" w:eastAsia="fang_zheng_xiao_biao_song_ti" w:cs="fang_zheng_xiao_biao_song_ti"/>
          <w:b/>
          <w:bCs/>
          <w:color w:val="000000"/>
          <w:kern w:val="0"/>
          <w:sz w:val="36"/>
          <w:szCs w:val="36"/>
        </w:rPr>
      </w:pPr>
      <w:r>
        <w:rPr>
          <w:rFonts w:ascii="fang_zheng_xiao_biao_song_ti" w:hAnsi="fang_zheng_xiao_biao_song_ti" w:eastAsia="fang_zheng_xiao_biao_song_ti" w:cs="fang_zheng_xiao_biao_song_ti"/>
          <w:b/>
          <w:bCs/>
          <w:color w:val="000000"/>
          <w:kern w:val="0"/>
          <w:sz w:val="36"/>
          <w:szCs w:val="36"/>
        </w:rPr>
        <w:br w:type="page"/>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kern w:val="0"/>
          <w:sz w:val="32"/>
          <w:szCs w:val="32"/>
        </w:rPr>
      </w:pPr>
      <w:r>
        <w:rPr>
          <w:rFonts w:hint="eastAsia" w:ascii="黑体" w:hAnsi="黑体" w:eastAsia="黑体" w:cs="黑体"/>
          <w:b/>
          <w:bCs/>
          <w:color w:val="000000"/>
          <w:kern w:val="0"/>
          <w:sz w:val="32"/>
          <w:szCs w:val="32"/>
        </w:rPr>
        <w:t>第一部分 单位概况</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一、主要职能、职责</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lang w:val="en-US" w:eastAsia="zh-CN"/>
        </w:rPr>
        <w:t>锡林郭勒盟</w:t>
      </w:r>
      <w:r>
        <w:rPr>
          <w:rFonts w:hint="eastAsia" w:ascii="方正仿宋_GB2312" w:hAnsi="方正仿宋_GB2312" w:eastAsia="方正仿宋_GB2312" w:cs="方正仿宋_GB2312"/>
          <w:kern w:val="0"/>
          <w:sz w:val="32"/>
          <w:szCs w:val="32"/>
        </w:rPr>
        <w:t>科学技术协会工作是党的群众工作的重要组成部分。科学技术协会是党领导下的人民团体，是科技工作者的群众组织，是党和政府联系科技工作者的桥梁和纽带。主要职能如下：</w:t>
      </w:r>
    </w:p>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1）贯彻执行党和国家有关科学技术的方针、政策、法规,制定锡盟科学技术协会工作计划并组织实施。在新形势下,围绕“四服务一加强”的工作方针,为经济社会发展服务,为提高全民科学素质服务,为科技工作者服务,切实加强自身建设。</w:t>
      </w:r>
    </w:p>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（2）组织开展科普活动,围绕锡盟经济转变发展方式，结构调整城镇化、工业化、农牧业产业化战略 ,大力普及科学知识,传播先进的科学思想和科学方法、推广适用、先进技术，组织实施全民科学素质工程,为锡盟经济社会又好又快发展提供科技支撑。</w:t>
      </w:r>
    </w:p>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3）组织学会积极开展学术活动,加强学术交流;组织科学技术工作者参与建设项目的科学论证,技术咨询和公关;组织厂矿企业开展技术创新、科技培训、技术咨询服务、建立企业科协制度;开展民间科学技术合作和交流,发展同国内外的科技团体和科技工作者友好交往。</w:t>
      </w:r>
    </w:p>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（4）全心全意为科技工作者服务,反映科技工作者的意见和要求,维护科技工作者的合法权益。</w:t>
      </w:r>
    </w:p>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（5）指导全盟学会和旗县市﹙区﹚科协及基层专业协会管理工作。</w:t>
      </w:r>
    </w:p>
    <w:p>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640" w:firstLineChars="200"/>
        <w:jc w:val="both"/>
        <w:textAlignment w:val="auto"/>
        <w:rPr>
          <w:rFonts w:ascii="Times New Roman" w:hAnsi="Times New Roman" w:eastAsia="Times New Roman" w:cs="Times New Roman"/>
          <w:kern w:val="0"/>
          <w:sz w:val="24"/>
        </w:rPr>
      </w:pPr>
      <w:r>
        <w:rPr>
          <w:rFonts w:hint="eastAsia" w:ascii="方正仿宋_GB2312" w:hAnsi="方正仿宋_GB2312" w:eastAsia="方正仿宋_GB2312" w:cs="方正仿宋_GB2312"/>
          <w:kern w:val="0"/>
          <w:sz w:val="32"/>
          <w:szCs w:val="32"/>
        </w:rPr>
        <w:t>（6）承办锡盟委行署和内蒙古自治区科协交办的其他工作事项。</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   二、部门（单位）机构设置及决算单位构成情况</w:t>
      </w:r>
    </w:p>
    <w:p>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 xml:space="preserve">1.根据锡林郭勒盟科学技术协会（本级）职责分工，本单位内设机构包括3个部（室）：科学技术普及部、学会工作部、综合办公室。  </w:t>
      </w:r>
    </w:p>
    <w:p>
      <w:pPr>
        <w:pStyle w:val="2"/>
        <w:keepNext w:val="0"/>
        <w:keepLines w:val="0"/>
        <w:pageBreakBefore w:val="0"/>
        <w:kinsoku/>
        <w:wordWrap/>
        <w:overflowPunct/>
        <w:topLinePunct w:val="0"/>
        <w:autoSpaceDE/>
        <w:autoSpaceDN/>
        <w:bidi w:val="0"/>
        <w:adjustRightInd/>
        <w:snapToGrid/>
        <w:spacing w:line="240" w:lineRule="auto"/>
        <w:ind w:firstLine="640" w:firstLineChars="200"/>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本单位无下属单位。</w:t>
      </w:r>
    </w:p>
    <w:p>
      <w:pPr>
        <w:keepNext w:val="0"/>
        <w:keepLines w:val="0"/>
        <w:pageBreakBefore w:val="0"/>
        <w:widowControl/>
        <w:kinsoku/>
        <w:wordWrap/>
        <w:overflowPunct/>
        <w:topLinePunct w:val="0"/>
        <w:autoSpaceDE/>
        <w:autoSpaceDN/>
        <w:bidi w:val="0"/>
        <w:adjustRightInd/>
        <w:snapToGrid/>
        <w:spacing w:before="240" w:after="240" w:line="240" w:lineRule="auto"/>
        <w:ind w:firstLine="540" w:firstLineChars="200"/>
        <w:rPr>
          <w:rFonts w:hint="eastAsia" w:ascii="方正仿宋_GB2312" w:hAnsi="方正仿宋_GB2312" w:eastAsia="方正仿宋_GB2312" w:cs="方正仿宋_GB2312"/>
          <w:kern w:val="0"/>
          <w:sz w:val="32"/>
          <w:szCs w:val="32"/>
          <w:lang w:val="en-US" w:eastAsia="zh-CN" w:bidi="ar-SA"/>
        </w:rPr>
      </w:pPr>
      <w:r>
        <w:rPr>
          <w:rFonts w:ascii="times_new_roman" w:hAnsi="times_new_roman" w:eastAsia="times_new_roman" w:cs="times_new_roman"/>
          <w:kern w:val="0"/>
          <w:sz w:val="27"/>
          <w:szCs w:val="27"/>
        </w:rPr>
        <w:t xml:space="preserve">  </w:t>
      </w:r>
      <w:r>
        <w:rPr>
          <w:rFonts w:hint="eastAsia" w:ascii="方正仿宋_GB2312" w:hAnsi="方正仿宋_GB2312" w:eastAsia="方正仿宋_GB2312" w:cs="方正仿宋_GB2312"/>
          <w:kern w:val="0"/>
          <w:sz w:val="32"/>
          <w:szCs w:val="32"/>
          <w:lang w:val="en-US" w:eastAsia="zh-CN" w:bidi="ar-SA"/>
        </w:rPr>
        <w:t>  2.从决算单位构成看，纳入本单位决算编制范围的预算单位共计1家，具体包括：锡林郭勒盟科学技术协会本级。详细情况见表：</w:t>
      </w:r>
    </w:p>
    <w:tbl>
      <w:tblPr>
        <w:tblStyle w:val="22"/>
        <w:tblW w:w="6798" w:type="dxa"/>
        <w:jc w:val="center"/>
        <w:tblInd w:w="3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
      <w:tblGrid>
        <w:gridCol w:w="707"/>
        <w:gridCol w:w="2987"/>
        <w:gridCol w:w="3104"/>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rPr>
          <w:trHeight w:val="460" w:hRule="atLeast"/>
          <w:tblHeader/>
          <w:jc w:val="center"/>
        </w:trPr>
        <w:tc>
          <w:tcPr>
            <w:tcW w:w="707" w:type="dxa"/>
            <w:tcBorders>
              <w:bottom w:val="inset" w:color="808080" w:sz="6" w:space="0"/>
              <w:right w:val="inset" w:color="80808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640" w:firstLineChars="200"/>
              <w:jc w:val="center"/>
              <w:rPr>
                <w:rFonts w:hint="eastAsia" w:ascii="仿宋" w:hAnsi="仿宋" w:eastAsia="仿宋" w:cs="仿宋"/>
                <w:b w:val="0"/>
                <w:bCs w:val="0"/>
                <w:i w:val="0"/>
                <w:iCs w:val="0"/>
                <w:smallCaps w:val="0"/>
                <w:color w:val="000000"/>
                <w:kern w:val="0"/>
                <w:sz w:val="32"/>
                <w:szCs w:val="32"/>
              </w:rPr>
            </w:pPr>
            <w:r>
              <w:rPr>
                <w:rFonts w:hint="eastAsia" w:ascii="仿宋" w:hAnsi="仿宋" w:eastAsia="仿宋" w:cs="仿宋"/>
                <w:b w:val="0"/>
                <w:bCs w:val="0"/>
                <w:i w:val="0"/>
                <w:iCs w:val="0"/>
                <w:smallCaps w:val="0"/>
                <w:color w:val="000000"/>
                <w:kern w:val="0"/>
                <w:sz w:val="32"/>
                <w:szCs w:val="32"/>
              </w:rPr>
              <w:t>序号</w:t>
            </w:r>
          </w:p>
        </w:tc>
        <w:tc>
          <w:tcPr>
            <w:tcW w:w="2987" w:type="dxa"/>
            <w:tcBorders>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640" w:firstLineChars="200"/>
              <w:jc w:val="center"/>
              <w:rPr>
                <w:rFonts w:hint="eastAsia" w:ascii="仿宋" w:hAnsi="仿宋" w:eastAsia="仿宋" w:cs="仿宋"/>
                <w:b w:val="0"/>
                <w:bCs w:val="0"/>
                <w:i w:val="0"/>
                <w:iCs w:val="0"/>
                <w:smallCaps w:val="0"/>
                <w:color w:val="000000"/>
                <w:kern w:val="0"/>
                <w:sz w:val="32"/>
                <w:szCs w:val="32"/>
              </w:rPr>
            </w:pPr>
            <w:r>
              <w:rPr>
                <w:rFonts w:hint="eastAsia" w:ascii="仿宋" w:hAnsi="仿宋" w:eastAsia="仿宋" w:cs="仿宋"/>
                <w:b w:val="0"/>
                <w:bCs w:val="0"/>
                <w:i w:val="0"/>
                <w:iCs w:val="0"/>
                <w:smallCaps w:val="0"/>
                <w:color w:val="000000"/>
                <w:kern w:val="0"/>
                <w:sz w:val="32"/>
                <w:szCs w:val="32"/>
              </w:rPr>
              <w:t>单位名称</w:t>
            </w:r>
          </w:p>
        </w:tc>
        <w:tc>
          <w:tcPr>
            <w:tcW w:w="3104" w:type="dxa"/>
            <w:tcBorders>
              <w:left w:val="inset" w:color="808080" w:sz="6" w:space="0"/>
              <w:bottom w:val="inset" w:color="80808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640" w:firstLineChars="200"/>
              <w:jc w:val="center"/>
              <w:rPr>
                <w:rFonts w:hint="eastAsia" w:ascii="仿宋" w:hAnsi="仿宋" w:eastAsia="仿宋" w:cs="仿宋"/>
                <w:b w:val="0"/>
                <w:bCs w:val="0"/>
                <w:i w:val="0"/>
                <w:iCs w:val="0"/>
                <w:smallCaps w:val="0"/>
                <w:color w:val="000000"/>
                <w:kern w:val="0"/>
                <w:sz w:val="32"/>
                <w:szCs w:val="32"/>
              </w:rPr>
            </w:pPr>
            <w:r>
              <w:rPr>
                <w:rFonts w:hint="eastAsia" w:ascii="仿宋" w:hAnsi="仿宋" w:eastAsia="仿宋" w:cs="仿宋"/>
                <w:b w:val="0"/>
                <w:bCs w:val="0"/>
                <w:i w:val="0"/>
                <w:iCs w:val="0"/>
                <w:smallCaps w:val="0"/>
                <w:color w:val="000000"/>
                <w:kern w:val="0"/>
                <w:sz w:val="32"/>
                <w:szCs w:val="32"/>
              </w:rPr>
              <w:t>单位性质</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rPr>
          <w:trHeight w:val="369" w:hRule="atLeast"/>
          <w:jc w:val="center"/>
        </w:trPr>
        <w:tc>
          <w:tcPr>
            <w:tcW w:w="707" w:type="dxa"/>
            <w:tcBorders>
              <w:top w:val="inset" w:color="808080" w:sz="6" w:space="0"/>
              <w:bottom w:val="inset" w:color="808080" w:sz="6" w:space="0"/>
              <w:right w:val="inset" w:color="80808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640" w:firstLineChars="200"/>
              <w:jc w:val="center"/>
              <w:rPr>
                <w:rFonts w:hint="eastAsia" w:ascii="仿宋" w:hAnsi="仿宋" w:eastAsia="仿宋" w:cs="仿宋"/>
                <w:b w:val="0"/>
                <w:bCs w:val="0"/>
                <w:i w:val="0"/>
                <w:iCs w:val="0"/>
                <w:smallCaps w:val="0"/>
                <w:color w:val="000000"/>
                <w:kern w:val="0"/>
                <w:sz w:val="32"/>
                <w:szCs w:val="32"/>
                <w:lang w:eastAsia="zh-CN"/>
              </w:rPr>
            </w:pPr>
            <w:r>
              <w:rPr>
                <w:rFonts w:hint="eastAsia" w:ascii="仿宋" w:hAnsi="仿宋" w:eastAsia="仿宋" w:cs="仿宋"/>
                <w:b w:val="0"/>
                <w:bCs w:val="0"/>
                <w:i w:val="0"/>
                <w:iCs w:val="0"/>
                <w:smallCaps w:val="0"/>
                <w:color w:val="000000"/>
                <w:kern w:val="0"/>
                <w:sz w:val="32"/>
                <w:szCs w:val="32"/>
                <w:lang w:val="en-US" w:eastAsia="zh-CN"/>
              </w:rPr>
              <w:t>1</w:t>
            </w:r>
          </w:p>
        </w:tc>
        <w:tc>
          <w:tcPr>
            <w:tcW w:w="298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640" w:firstLineChars="200"/>
              <w:jc w:val="center"/>
              <w:rPr>
                <w:rFonts w:hint="eastAsia" w:ascii="仿宋" w:hAnsi="仿宋" w:eastAsia="仿宋" w:cs="仿宋"/>
                <w:b w:val="0"/>
                <w:bCs w:val="0"/>
                <w:i w:val="0"/>
                <w:iCs w:val="0"/>
                <w:smallCaps w:val="0"/>
                <w:color w:val="000000"/>
                <w:kern w:val="0"/>
                <w:sz w:val="32"/>
                <w:szCs w:val="32"/>
                <w:lang w:eastAsia="zh-CN"/>
              </w:rPr>
            </w:pPr>
            <w:r>
              <w:rPr>
                <w:rFonts w:hint="eastAsia" w:ascii="仿宋" w:hAnsi="仿宋" w:eastAsia="仿宋" w:cs="仿宋"/>
                <w:b w:val="0"/>
                <w:bCs w:val="0"/>
                <w:i w:val="0"/>
                <w:iCs w:val="0"/>
                <w:smallCaps w:val="0"/>
                <w:color w:val="000000"/>
                <w:kern w:val="0"/>
                <w:sz w:val="32"/>
                <w:szCs w:val="32"/>
                <w:lang w:eastAsia="zh-CN"/>
              </w:rPr>
              <w:t>锡林郭勒盟科学技术协会（本级）</w:t>
            </w:r>
          </w:p>
        </w:tc>
        <w:tc>
          <w:tcPr>
            <w:tcW w:w="3104" w:type="dxa"/>
            <w:tcBorders>
              <w:top w:val="inset" w:color="808080" w:sz="6" w:space="0"/>
              <w:left w:val="inset" w:color="808080" w:sz="6" w:space="0"/>
              <w:bottom w:val="inset" w:color="80808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640" w:firstLineChars="200"/>
              <w:jc w:val="center"/>
              <w:rPr>
                <w:rFonts w:hint="eastAsia" w:ascii="仿宋" w:hAnsi="仿宋" w:eastAsia="仿宋" w:cs="仿宋"/>
                <w:b w:val="0"/>
                <w:bCs w:val="0"/>
                <w:i w:val="0"/>
                <w:iCs w:val="0"/>
                <w:smallCaps w:val="0"/>
                <w:color w:val="000000"/>
                <w:kern w:val="0"/>
                <w:sz w:val="32"/>
                <w:szCs w:val="32"/>
              </w:rPr>
            </w:pPr>
            <w:r>
              <w:rPr>
                <w:rFonts w:hint="eastAsia" w:ascii="仿宋" w:hAnsi="仿宋" w:eastAsia="仿宋" w:cs="仿宋"/>
                <w:b w:val="0"/>
                <w:bCs w:val="0"/>
                <w:i w:val="0"/>
                <w:iCs w:val="0"/>
                <w:smallCaps w:val="0"/>
                <w:color w:val="000000"/>
                <w:kern w:val="0"/>
                <w:sz w:val="32"/>
                <w:szCs w:val="32"/>
              </w:rPr>
              <w:t>参照公务员法管理的事业单位</w:t>
            </w:r>
          </w:p>
        </w:tc>
      </w:tr>
    </w:tbl>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三、2023年度部门（单位）主要工作完成情况</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40" w:firstLineChars="200"/>
        <w:jc w:val="both"/>
        <w:textAlignment w:val="auto"/>
        <w:outlineLvl w:val="9"/>
        <w:rPr>
          <w:rFonts w:hint="eastAsia" w:ascii="楷体_GB2312" w:hAnsi="楷体_GB2312" w:eastAsia="楷体_GB2312" w:cs="楷体_GB2312"/>
          <w:i w:val="0"/>
          <w:iCs w:val="0"/>
          <w:caps w:val="0"/>
          <w:color w:val="000000"/>
          <w:spacing w:val="0"/>
          <w:kern w:val="0"/>
          <w:sz w:val="32"/>
          <w:szCs w:val="32"/>
          <w:shd w:val="clear" w:color="auto" w:fill="FFFFFF"/>
          <w:lang w:val="en-US" w:eastAsia="zh-CN" w:bidi="ar"/>
        </w:rPr>
      </w:pPr>
      <w:r>
        <w:rPr>
          <w:rFonts w:hint="eastAsia" w:ascii="方正仿宋_GB2312" w:hAnsi="方正仿宋_GB2312" w:eastAsia="方正仿宋_GB2312" w:cs="方正仿宋_GB2312"/>
          <w:kern w:val="0"/>
          <w:sz w:val="32"/>
          <w:szCs w:val="32"/>
          <w:lang w:val="en-US" w:eastAsia="zh-CN" w:bidi="ar-SA"/>
        </w:rPr>
        <w:t>2023年，锡盟科协党组在盟委、行署的正确</w:t>
      </w:r>
      <w:r>
        <w:rPr>
          <w:rFonts w:hint="default" w:ascii="方正仿宋_GB2312" w:hAnsi="方正仿宋_GB2312" w:eastAsia="方正仿宋_GB2312" w:cs="方正仿宋_GB2312"/>
          <w:kern w:val="0"/>
          <w:sz w:val="32"/>
          <w:szCs w:val="32"/>
          <w:lang w:val="en" w:eastAsia="zh-CN" w:bidi="ar-SA"/>
        </w:rPr>
        <w:t>领导和</w:t>
      </w:r>
      <w:r>
        <w:rPr>
          <w:rFonts w:hint="eastAsia" w:ascii="方正仿宋_GB2312" w:hAnsi="方正仿宋_GB2312" w:eastAsia="方正仿宋_GB2312" w:cs="方正仿宋_GB2312"/>
          <w:kern w:val="0"/>
          <w:sz w:val="32"/>
          <w:szCs w:val="32"/>
          <w:lang w:val="en-US" w:eastAsia="zh-CN" w:bidi="ar-SA"/>
        </w:rPr>
        <w:t>自治区科协的大力</w:t>
      </w:r>
      <w:r>
        <w:rPr>
          <w:rFonts w:hint="default" w:ascii="方正仿宋_GB2312" w:hAnsi="方正仿宋_GB2312" w:eastAsia="方正仿宋_GB2312" w:cs="方正仿宋_GB2312"/>
          <w:kern w:val="0"/>
          <w:sz w:val="32"/>
          <w:szCs w:val="32"/>
          <w:lang w:val="en" w:eastAsia="zh-CN" w:bidi="ar-SA"/>
        </w:rPr>
        <w:t>支持</w:t>
      </w:r>
      <w:r>
        <w:rPr>
          <w:rFonts w:hint="eastAsia" w:ascii="方正仿宋_GB2312" w:hAnsi="方正仿宋_GB2312" w:eastAsia="方正仿宋_GB2312" w:cs="方正仿宋_GB2312"/>
          <w:kern w:val="0"/>
          <w:sz w:val="32"/>
          <w:szCs w:val="32"/>
          <w:lang w:val="en-US" w:eastAsia="zh-CN" w:bidi="ar-SA"/>
        </w:rPr>
        <w:t>下，认真贯彻落实中央、自治区及盟委、行署的决策部署，坚持以习近平新时代中国特色社会主义思想为指导，学习贯彻党的二十大精神，扎实开展学习贯彻习近平新时代中国特色社会主义思想主题教育，以铸牢中华民族共同体意识为主线，团结带领广大科技工作者增强“政治性、先进性、群众性”，坚持“四个面向”和“四个服务”，全力推动各项工作，取得了一定成效。</w:t>
      </w:r>
    </w:p>
    <w:p>
      <w:pPr>
        <w:pStyle w:val="2"/>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i w:val="0"/>
          <w:iCs w:val="0"/>
          <w:caps w:val="0"/>
          <w:color w:val="000000"/>
          <w:spacing w:val="0"/>
          <w:kern w:val="0"/>
          <w:sz w:val="32"/>
          <w:szCs w:val="32"/>
          <w:shd w:val="clear" w:color="auto" w:fill="FFFFFF"/>
          <w:lang w:val="en-US" w:eastAsia="zh-CN" w:bidi="ar"/>
        </w:rPr>
        <w:t>（一）围绕五大人群实施科学素质提升，全面提升科普服务供给能力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1.科普活动持续开展。</w:t>
      </w:r>
      <w:r>
        <w:rPr>
          <w:rFonts w:hint="eastAsia" w:ascii="仿宋_GB2312" w:hAnsi="仿宋_GB2312" w:eastAsia="仿宋_GB2312" w:cs="仿宋_GB2312"/>
          <w:kern w:val="2"/>
          <w:sz w:val="32"/>
          <w:szCs w:val="32"/>
          <w:lang w:val="en-US" w:eastAsia="zh-CN" w:bidi="ar-SA"/>
        </w:rPr>
        <w:t>以全国科普日、</w:t>
      </w:r>
      <w:r>
        <w:rPr>
          <w:rFonts w:hint="eastAsia" w:ascii="仿宋_GB2312" w:hAnsi="仿宋_GB2312" w:eastAsia="仿宋_GB2312" w:cs="仿宋_GB2312"/>
          <w:sz w:val="32"/>
          <w:szCs w:val="32"/>
          <w:lang w:val="en-US" w:eastAsia="zh-CN"/>
        </w:rPr>
        <w:t>科技活动周、</w:t>
      </w:r>
      <w:r>
        <w:rPr>
          <w:rFonts w:hint="eastAsia" w:ascii="仿宋_GB2312" w:hAnsi="仿宋_GB2312" w:eastAsia="仿宋_GB2312" w:cs="仿宋_GB2312"/>
          <w:sz w:val="32"/>
          <w:szCs w:val="32"/>
          <w:lang w:val="en" w:eastAsia="zh-CN"/>
        </w:rPr>
        <w:t>全国“</w:t>
      </w:r>
      <w:r>
        <w:rPr>
          <w:rFonts w:hint="default" w:ascii="仿宋_GB2312" w:hAnsi="仿宋_GB2312" w:eastAsia="仿宋_GB2312" w:cs="仿宋_GB2312"/>
          <w:sz w:val="32"/>
          <w:szCs w:val="32"/>
          <w:lang w:val="en" w:eastAsia="zh-CN"/>
        </w:rPr>
        <w:t>5</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 w:eastAsia="zh-CN"/>
        </w:rPr>
        <w:t>30科技工作者日</w:t>
      </w:r>
      <w:r>
        <w:rPr>
          <w:rFonts w:hint="eastAsia" w:ascii="仿宋_GB2312" w:hAnsi="仿宋_GB2312" w:eastAsia="仿宋_GB2312" w:cs="仿宋_GB2312"/>
          <w:sz w:val="32"/>
          <w:szCs w:val="32"/>
          <w:lang w:val="en" w:eastAsia="zh-CN"/>
        </w:rPr>
        <w:t>”、</w:t>
      </w:r>
      <w:r>
        <w:rPr>
          <w:rFonts w:hint="eastAsia" w:ascii="仿宋_GB2312" w:hAnsi="仿宋_GB2312" w:eastAsia="仿宋_GB2312" w:cs="仿宋_GB2312"/>
          <w:kern w:val="2"/>
          <w:sz w:val="32"/>
          <w:szCs w:val="32"/>
          <w:lang w:val="en-US" w:eastAsia="zh-CN" w:bidi="ar-SA"/>
        </w:rPr>
        <w:t>“百名专家走进盟市旗县科普传播行”等系列品牌活动为抓手，</w:t>
      </w:r>
      <w:r>
        <w:rPr>
          <w:rFonts w:hint="eastAsia" w:ascii="仿宋_GB2312" w:hAnsi="仿宋_GB2312" w:eastAsia="仿宋_GB2312" w:cs="仿宋_GB2312"/>
          <w:sz w:val="32"/>
          <w:szCs w:val="32"/>
        </w:rPr>
        <w:t>围绕五大人群实施科学素质提升行动，共开展各类活动210余场次，参与群众15万余人次，发放实用技术册子15万余册，参加2023年内蒙古自治区全民科学素质竞赛，锡盟科协荣获优秀组织奖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val="0"/>
          <w:bCs w:val="0"/>
          <w:kern w:val="2"/>
          <w:sz w:val="32"/>
          <w:szCs w:val="32"/>
          <w:lang w:val="en-US" w:eastAsia="zh-CN" w:bidi="ar-SA"/>
        </w:rPr>
        <w:t>成功举办第二届锡林郭勒盟公民科学素质竞赛，</w:t>
      </w:r>
      <w:r>
        <w:rPr>
          <w:rFonts w:hint="eastAsia" w:ascii="仿宋_GB2312" w:hAnsi="仿宋_GB2312" w:eastAsia="仿宋_GB2312" w:cs="仿宋_GB2312"/>
          <w:sz w:val="32"/>
          <w:szCs w:val="32"/>
        </w:rPr>
        <w:t>有效促进了全盟全民科学素质提升。</w:t>
      </w:r>
      <w:r>
        <w:rPr>
          <w:rFonts w:hint="eastAsia" w:ascii="仿宋_GB2312" w:hAnsi="仿宋_GB2312" w:eastAsia="仿宋_GB2312" w:cs="仿宋_GB2312"/>
          <w:kern w:val="2"/>
          <w:sz w:val="32"/>
          <w:szCs w:val="32"/>
          <w:lang w:val="en-US" w:eastAsia="zh-CN" w:bidi="ar-SA"/>
        </w:rPr>
        <w:t>连续5年盟科协荣获全国科普日优秀组织单位、基层赛事优秀组织单位和全区“百名专家走进盟市旗县科普传播行”优秀组织单位荣誉称号。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2.科普大篷车“四进”活动有声有色。</w:t>
      </w:r>
      <w:r>
        <w:rPr>
          <w:rFonts w:hint="eastAsia" w:ascii="仿宋_GB2312" w:hAnsi="仿宋_GB2312" w:eastAsia="仿宋_GB2312" w:cs="仿宋_GB2312"/>
          <w:kern w:val="2"/>
          <w:sz w:val="32"/>
          <w:szCs w:val="32"/>
          <w:lang w:val="en-US" w:eastAsia="zh-CN" w:bidi="ar-SA"/>
        </w:rPr>
        <w:t>开展“科普万里行、助力乡村振兴——科普大篷车联合行动”，联合旗县科协开展了科普大篷车进校园活动，全盟20余所中小学2.8万余人参加。同步开展科普大篷车进社区、进企业、进农牧区活动，共举办活动10余场（次），惠及群众4000余人。开展“体验科学——中国流动科技馆巡展”活动，正镶白旗、太仆寺旗、多伦县、正蓝旗2.6万余名公众参加了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3.青少年科技赛事成绩斐然。</w:t>
      </w:r>
      <w:r>
        <w:rPr>
          <w:rFonts w:hint="eastAsia" w:ascii="仿宋_GB2312" w:hAnsi="仿宋_GB2312" w:eastAsia="仿宋_GB2312" w:cs="仿宋_GB2312"/>
          <w:kern w:val="2"/>
          <w:sz w:val="32"/>
          <w:szCs w:val="32"/>
          <w:lang w:val="en-US" w:eastAsia="zh-CN" w:bidi="ar-SA"/>
        </w:rPr>
        <w:t>成功举办第</w:t>
      </w:r>
      <w:r>
        <w:rPr>
          <w:rFonts w:hint="eastAsia" w:ascii="仿宋_GB2312" w:hAnsi="仿宋_GB2312" w:eastAsia="仿宋_GB2312" w:cs="仿宋_GB2312"/>
          <w:b w:val="0"/>
          <w:bCs w:val="0"/>
          <w:kern w:val="2"/>
          <w:sz w:val="32"/>
          <w:szCs w:val="32"/>
          <w:lang w:val="en-US" w:eastAsia="zh-CN" w:bidi="ar-SA"/>
        </w:rPr>
        <w:t>三届锡林郭勒盟青少年机器人竞赛、</w:t>
      </w:r>
      <w:r>
        <w:rPr>
          <w:rFonts w:hint="eastAsia" w:ascii="仿宋_GB2312" w:hAnsi="仿宋_GB2312" w:eastAsia="仿宋_GB2312" w:cs="仿宋_GB2312"/>
          <w:b w:val="0"/>
          <w:bCs w:val="0"/>
          <w:color w:val="auto"/>
          <w:kern w:val="2"/>
          <w:sz w:val="32"/>
          <w:szCs w:val="32"/>
          <w:highlight w:val="none"/>
          <w:lang w:val="en-US" w:eastAsia="zh-CN" w:bidi="ar-SA"/>
        </w:rPr>
        <w:t>第三十九届锡林郭勒盟青少年科技创新大赛等。</w:t>
      </w:r>
      <w:r>
        <w:rPr>
          <w:rFonts w:hint="eastAsia" w:ascii="仿宋_GB2312" w:hAnsi="仿宋_GB2312" w:eastAsia="仿宋_GB2312" w:cs="仿宋_GB2312"/>
          <w:kern w:val="2"/>
          <w:sz w:val="32"/>
          <w:szCs w:val="32"/>
          <w:lang w:val="en-US" w:eastAsia="zh-CN" w:bidi="ar-SA"/>
        </w:rPr>
        <w:t>开展2023年“‘科创筑梦’助力‘双减’”主题青少年科普活动”，组织高中生和科技辅导员参加内蒙古青少年高校科学营，盟科创中心荣获优秀组织单位奖，1名工作人员荣获优秀组织工作者奖。举办科技辅导员科技创新能力提升讲座和青少年机器人竞赛专题讲座，共320余名科技辅导员和600余名中小学生参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b w:val="0"/>
          <w:bCs w:val="0"/>
          <w:color w:val="auto"/>
          <w:sz w:val="32"/>
          <w:szCs w:val="32"/>
          <w:lang w:val="en-US" w:eastAsia="zh-CN"/>
        </w:rPr>
      </w:pPr>
      <w:r>
        <w:rPr>
          <w:rFonts w:hint="eastAsia" w:ascii="仿宋_GB2312" w:hAnsi="仿宋_GB2312" w:eastAsia="仿宋_GB2312" w:cs="仿宋_GB2312"/>
          <w:b/>
          <w:bCs/>
          <w:kern w:val="2"/>
          <w:sz w:val="32"/>
          <w:szCs w:val="32"/>
          <w:shd w:val="clear" w:color="auto" w:fill="auto"/>
          <w:lang w:val="en-US" w:eastAsia="zh-CN" w:bidi="ar-SA"/>
        </w:rPr>
        <w:t>4.三支队伍建设成效显现。</w:t>
      </w:r>
      <w:r>
        <w:rPr>
          <w:rFonts w:hint="eastAsia" w:ascii="仿宋_GB2312" w:hAnsi="仿宋_GB2312" w:eastAsia="仿宋_GB2312"/>
          <w:color w:val="auto"/>
          <w:sz w:val="32"/>
          <w:szCs w:val="32"/>
          <w:lang w:val="en-US" w:eastAsia="zh-CN"/>
        </w:rPr>
        <w:t>进一步充实完善以旗县市(区)科协专家为基础，自治区、盟级专家为依托的科普专家团，逐步建立以专家人才为支撑，以科协委员为骨干，以学会组织、高校科协为依托，以旗县市(区)科协、企业科协、基层双创人才为基础的智库工作格局。</w:t>
      </w:r>
      <w:r>
        <w:rPr>
          <w:rFonts w:hint="eastAsia" w:ascii="仿宋_GB2312" w:hAnsi="仿宋_GB2312" w:eastAsia="仿宋_GB2312" w:cs="仿宋_GB2312"/>
          <w:sz w:val="32"/>
          <w:szCs w:val="32"/>
          <w:lang w:val="en-US" w:eastAsia="zh-CN"/>
        </w:rPr>
        <w:t>全盟注册科普信息员2.9万余人，同比增长81%，传播量580多万次，同比增长263%。科技志愿者1万余人，同比增长25%，锡盟“科普专家服务团”科普专家人数240名，同比增长58%，覆盖面有效扩大。</w:t>
      </w:r>
      <w:r>
        <w:rPr>
          <w:rFonts w:hint="eastAsia" w:ascii="仿宋_GB2312" w:hAnsi="仿宋_GB2312" w:eastAsia="仿宋_GB2312"/>
          <w:color w:val="auto"/>
          <w:sz w:val="32"/>
          <w:szCs w:val="32"/>
          <w:lang w:val="en-US" w:eastAsia="zh-CN"/>
        </w:rPr>
        <w:t>吸纳976名基层科技工作者进入科协科技工作者信息库，设立学会专家库、科普专家库和科技人才库等不同类别,凝聚一大批优</w:t>
      </w:r>
      <w:r>
        <w:rPr>
          <w:rFonts w:hint="eastAsia" w:ascii="仿宋_GB2312" w:hAnsi="仿宋_GB2312" w:eastAsia="仿宋_GB2312"/>
          <w:b w:val="0"/>
          <w:bCs w:val="0"/>
          <w:color w:val="auto"/>
          <w:sz w:val="32"/>
          <w:szCs w:val="32"/>
          <w:lang w:val="en-US" w:eastAsia="zh-CN"/>
        </w:rPr>
        <w:t>秀的科技人才精英，形成推动经济社会发展和科协事业繁荣的合力。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kern w:val="2"/>
          <w:sz w:val="32"/>
          <w:szCs w:val="32"/>
          <w:lang w:val="en-US" w:eastAsia="zh-CN" w:bidi="ar-SA"/>
        </w:rPr>
        <w:t>5.基层科协组织更加规范。</w:t>
      </w:r>
      <w:r>
        <w:rPr>
          <w:rFonts w:hint="eastAsia" w:ascii="仿宋_GB2312" w:hAnsi="仿宋_GB2312" w:eastAsia="仿宋_GB2312" w:cs="仿宋_GB2312"/>
          <w:color w:val="000000"/>
          <w:sz w:val="32"/>
          <w:szCs w:val="32"/>
          <w:lang w:val="en-US" w:eastAsia="zh-CN"/>
        </w:rPr>
        <w:t>在实现基层科协组织建设全覆盖的基础上，继续抓好基层组织规范化和作用发挥,全力推动科协组织向基层延伸工作，加强对全盟基层科协组织的规范化建设管理，下发《关于进一步做好全盟基层科协组织建设工作的通知》，督促各旗县市（区）科协及时配备增补“三长”等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6.项目资金支持更为有力。</w:t>
      </w:r>
      <w:r>
        <w:rPr>
          <w:rFonts w:hint="eastAsia" w:ascii="仿宋_GB2312" w:hAnsi="仿宋_GB2312" w:eastAsia="仿宋_GB2312" w:cs="仿宋_GB2312"/>
          <w:b w:val="0"/>
          <w:bCs w:val="0"/>
          <w:kern w:val="2"/>
          <w:sz w:val="32"/>
          <w:szCs w:val="32"/>
          <w:lang w:val="en-US" w:eastAsia="zh-CN" w:bidi="ar-SA"/>
        </w:rPr>
        <w:t>202</w:t>
      </w:r>
      <w:r>
        <w:rPr>
          <w:rFonts w:hint="default" w:ascii="仿宋_GB2312" w:hAnsi="仿宋_GB2312" w:eastAsia="仿宋_GB2312" w:cs="仿宋_GB2312"/>
          <w:b w:val="0"/>
          <w:bCs w:val="0"/>
          <w:kern w:val="2"/>
          <w:sz w:val="32"/>
          <w:szCs w:val="32"/>
          <w:lang w:val="en-US" w:eastAsia="zh-CN" w:bidi="ar-SA"/>
        </w:rPr>
        <w:t>3</w:t>
      </w:r>
      <w:r>
        <w:rPr>
          <w:rFonts w:hint="eastAsia" w:ascii="仿宋_GB2312" w:hAnsi="仿宋_GB2312" w:eastAsia="仿宋_GB2312" w:cs="仿宋_GB2312"/>
          <w:b w:val="0"/>
          <w:bCs w:val="0"/>
          <w:kern w:val="2"/>
          <w:sz w:val="32"/>
          <w:szCs w:val="32"/>
          <w:lang w:val="en-US" w:eastAsia="zh-CN" w:bidi="ar-SA"/>
        </w:rPr>
        <w:t>年自治区科协下达锡盟科协基层科普行动计划共</w:t>
      </w:r>
      <w:r>
        <w:rPr>
          <w:rFonts w:hint="default" w:ascii="仿宋_GB2312" w:hAnsi="仿宋_GB2312" w:eastAsia="仿宋_GB2312" w:cs="仿宋_GB2312"/>
          <w:b w:val="0"/>
          <w:bCs w:val="0"/>
          <w:kern w:val="2"/>
          <w:sz w:val="32"/>
          <w:szCs w:val="32"/>
          <w:lang w:val="en-US" w:eastAsia="zh-CN" w:bidi="ar-SA"/>
        </w:rPr>
        <w:t>37</w:t>
      </w:r>
      <w:r>
        <w:rPr>
          <w:rFonts w:hint="eastAsia" w:ascii="仿宋_GB2312" w:hAnsi="仿宋_GB2312" w:eastAsia="仿宋_GB2312" w:cs="仿宋_GB2312"/>
          <w:b w:val="0"/>
          <w:bCs w:val="0"/>
          <w:kern w:val="2"/>
          <w:sz w:val="32"/>
          <w:szCs w:val="32"/>
          <w:lang w:val="en-US" w:eastAsia="zh-CN" w:bidi="ar-SA"/>
        </w:rPr>
        <w:t xml:space="preserve">万元。为旗县市（区）科协和科普教育基地争取“科普示范旗县科普能力提升”等5个项目资金共计 </w:t>
      </w:r>
      <w:r>
        <w:rPr>
          <w:rFonts w:hint="default" w:ascii="仿宋_GB2312" w:hAnsi="仿宋_GB2312" w:eastAsia="仿宋_GB2312" w:cs="仿宋_GB2312"/>
          <w:b w:val="0"/>
          <w:bCs w:val="0"/>
          <w:kern w:val="2"/>
          <w:sz w:val="32"/>
          <w:szCs w:val="32"/>
          <w:lang w:val="en-US" w:eastAsia="zh-CN" w:bidi="ar-SA"/>
        </w:rPr>
        <w:t>132</w:t>
      </w:r>
      <w:r>
        <w:rPr>
          <w:rFonts w:hint="eastAsia" w:ascii="仿宋_GB2312" w:hAnsi="仿宋_GB2312" w:eastAsia="仿宋_GB2312" w:cs="仿宋_GB2312"/>
          <w:b w:val="0"/>
          <w:bCs w:val="0"/>
          <w:kern w:val="2"/>
          <w:sz w:val="32"/>
          <w:szCs w:val="32"/>
          <w:lang w:val="en-US" w:eastAsia="zh-CN" w:bidi="ar-SA"/>
        </w:rPr>
        <w:t>万元，为蓝旗等5个旗县争取“全国科技馆免费开放”项目补助资金129万元</w:t>
      </w:r>
      <w:r>
        <w:rPr>
          <w:rFonts w:hint="eastAsia" w:ascii="仿宋_GB2312" w:hAnsi="仿宋_GB2312" w:eastAsia="仿宋_GB2312"/>
          <w:color w:val="auto"/>
          <w:sz w:val="32"/>
          <w:szCs w:val="32"/>
          <w:lang w:val="en-US" w:eastAsia="zh-CN"/>
        </w:rPr>
        <w:t>，</w:t>
      </w:r>
      <w:r>
        <w:rPr>
          <w:rFonts w:hint="eastAsia" w:ascii="仿宋_GB2312" w:hAnsi="仿宋_GB2312" w:eastAsia="仿宋_GB2312" w:cs="仿宋_GB2312"/>
          <w:b w:val="0"/>
          <w:bCs w:val="0"/>
          <w:kern w:val="2"/>
          <w:sz w:val="32"/>
          <w:szCs w:val="32"/>
          <w:lang w:val="en-US" w:eastAsia="zh-CN" w:bidi="ar-SA"/>
        </w:rPr>
        <w:t>有效提升了各地科技馆科普服务能力。</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left"/>
        <w:rPr>
          <w:rFonts w:hint="eastAsia" w:ascii="楷体" w:hAnsi="楷体" w:eastAsia="楷体" w:cs="楷体"/>
          <w:b w:val="0"/>
          <w:bCs w:val="0"/>
          <w:sz w:val="32"/>
          <w:szCs w:val="32"/>
        </w:rPr>
      </w:pPr>
      <w:r>
        <w:rPr>
          <w:rFonts w:hint="eastAsia" w:ascii="楷体" w:hAnsi="楷体" w:eastAsia="楷体" w:cs="楷体"/>
          <w:b w:val="0"/>
          <w:bCs w:val="0"/>
          <w:sz w:val="32"/>
          <w:szCs w:val="32"/>
          <w:lang w:eastAsia="zh-CN"/>
        </w:rPr>
        <w:t>（二）</w:t>
      </w:r>
      <w:r>
        <w:rPr>
          <w:rFonts w:hint="eastAsia" w:ascii="楷体" w:hAnsi="楷体" w:eastAsia="楷体" w:cs="楷体"/>
          <w:i w:val="0"/>
          <w:iCs w:val="0"/>
          <w:caps w:val="0"/>
          <w:spacing w:val="0"/>
          <w:kern w:val="0"/>
          <w:sz w:val="32"/>
          <w:szCs w:val="32"/>
          <w:shd w:val="clear" w:color="auto" w:fill="FFFFFF"/>
          <w:lang w:val="en-US" w:eastAsia="zh-CN" w:bidi="ar"/>
        </w:rPr>
        <w:t>以服务科技工作者为宗旨，有效发挥桥梁纽带作用</w:t>
      </w:r>
    </w:p>
    <w:p>
      <w:pPr>
        <w:pStyle w:val="3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b/>
          <w:bCs/>
          <w:color w:val="auto"/>
          <w:sz w:val="32"/>
          <w:szCs w:val="32"/>
          <w:lang w:val="en-US" w:eastAsia="zh-CN"/>
        </w:rPr>
        <w:t>1.不断深化建家交友工作。</w:t>
      </w:r>
      <w:r>
        <w:rPr>
          <w:rFonts w:hint="eastAsia" w:ascii="仿宋_GB2312" w:hAnsi="仿宋_GB2312" w:eastAsia="仿宋_GB2312"/>
          <w:b w:val="0"/>
          <w:bCs w:val="0"/>
          <w:color w:val="auto"/>
          <w:sz w:val="32"/>
          <w:szCs w:val="32"/>
          <w:highlight w:val="none"/>
          <w:lang w:val="en-US" w:eastAsia="zh-CN"/>
        </w:rPr>
        <w:t>深入实施《锡盟科协系统干部直接联系科技工作者制度》，积极开展走访调研，了解各学会(协会)、高校科协、企业科协的工作开展情况，倾听科技工作者意见建议。</w:t>
      </w:r>
      <w:r>
        <w:rPr>
          <w:rFonts w:hint="eastAsia" w:ascii="仿宋_GB2312" w:hAnsi="仿宋_GB2312" w:eastAsia="仿宋_GB2312" w:cs="仿宋_GB2312"/>
          <w:color w:val="000000"/>
          <w:sz w:val="32"/>
          <w:szCs w:val="32"/>
          <w:lang w:val="en" w:eastAsia="zh-CN"/>
        </w:rPr>
        <w:t>组织开展学术交流项目资（补）助工作，</w:t>
      </w:r>
      <w:r>
        <w:rPr>
          <w:rFonts w:hint="eastAsia" w:ascii="仿宋_GB2312" w:hAnsi="仿宋_GB2312" w:eastAsia="仿宋_GB2312" w:cs="仿宋_GB2312"/>
          <w:color w:val="000000"/>
          <w:sz w:val="32"/>
          <w:szCs w:val="32"/>
          <w:lang w:val="en-US" w:eastAsia="zh-CN"/>
        </w:rPr>
        <w:t>2023年资（补）助锡盟无人机技术与应用研讨会、锡盟农学会智慧农业推广普及项目，共计4万元。</w:t>
      </w:r>
      <w:r>
        <w:rPr>
          <w:rFonts w:hint="eastAsia" w:ascii="仿宋_GB2312" w:hAnsi="仿宋_GB2312" w:eastAsia="仿宋_GB2312"/>
          <w:color w:val="auto"/>
          <w:sz w:val="32"/>
          <w:szCs w:val="32"/>
          <w:lang w:val="en-US" w:eastAsia="zh-CN"/>
        </w:rPr>
        <w:t>指导盟无人机技术与应用协会举办我盟首届无人机技术与应用研讨会，围绕我盟无人机事业发展</w:t>
      </w:r>
      <w:r>
        <w:rPr>
          <w:rFonts w:hint="eastAsia" w:ascii="仿宋_GB2312" w:hAnsi="仿宋_GB2312" w:eastAsia="仿宋_GB2312" w:cs="仿宋_GB2312"/>
          <w:sz w:val="32"/>
          <w:szCs w:val="32"/>
          <w:lang w:val="en-US" w:eastAsia="zh-CN"/>
        </w:rPr>
        <w:t>开展学术交流研讨。</w:t>
      </w:r>
      <w:r>
        <w:rPr>
          <w:rFonts w:hint="eastAsia" w:ascii="仿宋_GB2312" w:hAnsi="仿宋_GB2312" w:eastAsia="仿宋_GB2312" w:cs="仿宋_GB2312"/>
          <w:color w:val="000000"/>
          <w:sz w:val="32"/>
          <w:szCs w:val="32"/>
          <w:lang w:val="en-US" w:eastAsia="zh-CN"/>
        </w:rPr>
        <w:t>在盟无人机技术与应用协会成立我盟首家线下“科技工作者之家”。</w:t>
      </w:r>
    </w:p>
    <w:p>
      <w:pPr>
        <w:pStyle w:val="3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b/>
          <w:bCs/>
          <w:color w:val="auto"/>
          <w:sz w:val="32"/>
          <w:szCs w:val="32"/>
          <w:lang w:val="en-US" w:eastAsia="zh-CN"/>
        </w:rPr>
        <w:t>2.大力开展科技人才表彰和举荐。</w:t>
      </w:r>
      <w:r>
        <w:rPr>
          <w:rFonts w:hint="eastAsia" w:ascii="仿宋_GB2312" w:hAnsi="仿宋_GB2312" w:eastAsia="仿宋_GB2312" w:cs="仿宋_GB2312"/>
          <w:sz w:val="32"/>
          <w:szCs w:val="32"/>
          <w:lang w:val="en-US" w:eastAsia="zh-CN"/>
        </w:rPr>
        <w:t>锡林郭勒职业学院褐煤粉煤灰研究院副教授刘树森获评“内蒙古自治区优秀科技工作者”荣誉称号。</w:t>
      </w:r>
      <w:r>
        <w:rPr>
          <w:rFonts w:hint="eastAsia" w:ascii="仿宋_GB2312" w:hAnsi="仿宋_GB2312" w:eastAsia="仿宋_GB2312" w:cs="仿宋_GB2312"/>
          <w:color w:val="000000"/>
          <w:sz w:val="32"/>
          <w:szCs w:val="32"/>
          <w:lang w:val="en-US" w:eastAsia="zh-CN"/>
        </w:rPr>
        <w:t>开展锡盟“创新先锋号”、“创新先锋岗”评比活动，共授予</w:t>
      </w:r>
      <w:r>
        <w:rPr>
          <w:rFonts w:hint="eastAsia" w:ascii="仿宋_GB2312" w:hAnsi="仿宋_GB2312" w:eastAsia="仿宋_GB2312" w:cs="仿宋_GB2312"/>
          <w:sz w:val="32"/>
          <w:szCs w:val="32"/>
          <w:lang w:val="en-US" w:eastAsia="zh-CN"/>
        </w:rPr>
        <w:t>14个集体为“创新先锋号”，10名个人为“创新先锋岗”称号。认真开展2023年“最美科技工作者”学习宣传活动，</w:t>
      </w:r>
      <w:r>
        <w:rPr>
          <w:rFonts w:hint="eastAsia" w:ascii="仿宋_GB2312" w:hAnsi="仿宋_GB2312" w:eastAsia="仿宋_GB2312" w:cs="仿宋_GB2312"/>
          <w:color w:val="000000"/>
          <w:sz w:val="32"/>
          <w:szCs w:val="32"/>
          <w:lang w:val="en-US" w:eastAsia="zh-CN"/>
        </w:rPr>
        <w:t>推荐5名候选人参加2023年内蒙古自治区“最美科技工作者”遴选，其中，苏华同志被评为2023年内蒙古自治区“最美科技工作者”。年内邀请苏华同志为全盟各级科协组织和科技工作者开展线上“最美科技工作者”宣讲。开展科学家精神进校园主题宣讲活动，邀请内蒙古弘扬科学家精神宣讲团成员肖瑞以《一粒追梦的种子——科学家钟扬同志的“精神珠峰”》为题作专题讲座，为青年学子上好“开学第一课”。</w:t>
      </w:r>
    </w:p>
    <w:p>
      <w:pPr>
        <w:pStyle w:val="3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643" w:firstLineChars="200"/>
        <w:jc w:val="both"/>
      </w:pPr>
      <w:r>
        <w:rPr>
          <w:rFonts w:hint="eastAsia" w:ascii="仿宋_GB2312" w:hAnsi="仿宋_GB2312" w:eastAsia="仿宋_GB2312"/>
          <w:b/>
          <w:bCs/>
          <w:color w:val="auto"/>
          <w:sz w:val="32"/>
          <w:szCs w:val="32"/>
          <w:lang w:val="en-US" w:eastAsia="zh-CN"/>
        </w:rPr>
        <w:t>3.智库建设初见成效。</w:t>
      </w:r>
      <w:r>
        <w:rPr>
          <w:rFonts w:hint="eastAsia" w:ascii="仿宋_GB2312" w:hAnsi="仿宋_GB2312" w:eastAsia="仿宋_GB2312"/>
          <w:b w:val="0"/>
          <w:bCs w:val="0"/>
          <w:color w:val="auto"/>
          <w:sz w:val="32"/>
          <w:szCs w:val="32"/>
          <w:lang w:val="en-US" w:eastAsia="zh-CN"/>
        </w:rPr>
        <w:t>加强与专业人才联系，探索建立与我盟职业学院博士团队、农牧能源等领域专家的专题调研机制。引导和组织广大科技工作者围绕全盟经济社会发展中的重大问题，开展调查研究，积极建言献策。</w:t>
      </w:r>
      <w:r>
        <w:rPr>
          <w:rFonts w:hint="eastAsia" w:ascii="仿宋_GB2312" w:hAnsi="仿宋_GB2312" w:eastAsia="仿宋_GB2312" w:cs="仿宋_GB2312"/>
          <w:b w:val="0"/>
          <w:bCs w:val="0"/>
          <w:color w:val="000000"/>
          <w:sz w:val="32"/>
          <w:szCs w:val="32"/>
          <w:lang w:val="en-US" w:eastAsia="zh-CN"/>
        </w:rPr>
        <w:t>围绕推动高质量发展和落实“五大任务”、全方位建设“模范自治区”决策部署等方面</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征集意见建议</w:t>
      </w:r>
      <w:r>
        <w:rPr>
          <w:rFonts w:hint="eastAsia" w:ascii="仿宋_GB2312" w:hAnsi="仿宋_GB2312" w:eastAsia="仿宋_GB2312" w:cs="仿宋_GB2312"/>
          <w:b w:val="0"/>
          <w:bCs w:val="0"/>
          <w:sz w:val="32"/>
          <w:szCs w:val="32"/>
          <w:lang w:val="en-US" w:eastAsia="zh-CN"/>
        </w:rPr>
        <w:t>15</w:t>
      </w:r>
      <w:r>
        <w:rPr>
          <w:rFonts w:hint="eastAsia" w:ascii="仿宋_GB2312" w:hAnsi="仿宋_GB2312" w:eastAsia="仿宋_GB2312" w:cs="仿宋_GB2312"/>
          <w:i w:val="0"/>
          <w:iCs w:val="0"/>
          <w:caps w:val="0"/>
          <w:color w:val="000000"/>
          <w:spacing w:val="0"/>
          <w:sz w:val="32"/>
          <w:szCs w:val="32"/>
          <w:shd w:val="clear" w:color="auto" w:fill="FFFFFF"/>
          <w:lang w:val="en-US" w:eastAsia="zh-CN"/>
        </w:rPr>
        <w:t>篇，遴选</w:t>
      </w:r>
      <w:r>
        <w:rPr>
          <w:rFonts w:hint="eastAsia" w:ascii="仿宋_GB2312" w:hAnsi="仿宋_GB2312" w:eastAsia="仿宋_GB2312" w:cs="仿宋_GB2312"/>
          <w:b w:val="0"/>
          <w:bCs w:val="0"/>
          <w:sz w:val="32"/>
          <w:szCs w:val="32"/>
          <w:lang w:val="en-US" w:eastAsia="zh-CN"/>
        </w:rPr>
        <w:t>7篇有可借鉴价值的建议编辑成《科技工作者建议》专报，呈送盟委、行署，为领导决策提供参考依据。</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left"/>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（三）助力创新驱动，服务经济社会高质量发展</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643"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b/>
          <w:bCs/>
          <w:color w:val="000000"/>
          <w:kern w:val="2"/>
          <w:sz w:val="32"/>
          <w:szCs w:val="32"/>
          <w:lang w:val="en-US" w:eastAsia="zh-CN" w:bidi="ar-SA"/>
        </w:rPr>
        <w:t>1.科技赋能企业更加精准有效。</w:t>
      </w:r>
      <w:r>
        <w:rPr>
          <w:rFonts w:hint="eastAsia" w:ascii="仿宋_GB2312" w:hAnsi="仿宋_GB2312" w:eastAsia="仿宋_GB2312" w:cs="仿宋_GB2312"/>
          <w:color w:val="auto"/>
          <w:kern w:val="0"/>
          <w:sz w:val="32"/>
          <w:szCs w:val="24"/>
          <w:lang w:val="en-US" w:eastAsia="zh-CN" w:bidi="ar"/>
        </w:rPr>
        <w:t>年内</w:t>
      </w:r>
      <w:r>
        <w:rPr>
          <w:rFonts w:hint="eastAsia" w:ascii="仿宋_GB2312" w:hAnsi="仿宋_GB2312" w:eastAsia="仿宋_GB2312" w:cs="仿宋_GB2312"/>
          <w:color w:val="000000"/>
          <w:kern w:val="2"/>
          <w:sz w:val="32"/>
          <w:szCs w:val="32"/>
          <w:lang w:val="en-US" w:eastAsia="zh-CN" w:bidi="ar-SA"/>
        </w:rPr>
        <w:t>推动全盟各旗县市（区）所属企业成立企业科协19家，完成2023年度企业科协信息采集工作及锡盟科技型骨干型企业科协和园区科协信息统</w:t>
      </w:r>
      <w:r>
        <w:rPr>
          <w:rFonts w:hint="eastAsia" w:ascii="仿宋_GB2312" w:hAnsi="仿宋_GB2312" w:eastAsia="仿宋_GB2312" w:cs="仿宋_GB2312"/>
          <w:color w:val="auto"/>
          <w:kern w:val="0"/>
          <w:sz w:val="32"/>
          <w:szCs w:val="24"/>
          <w:lang w:val="en-US" w:eastAsia="zh-CN" w:bidi="ar"/>
        </w:rPr>
        <w:t>计工作。</w:t>
      </w:r>
      <w:r>
        <w:rPr>
          <w:rFonts w:hint="eastAsia" w:ascii="仿宋_GB2312" w:hAnsi="仿宋_GB2312" w:eastAsia="仿宋_GB2312" w:cs="仿宋_GB2312"/>
          <w:color w:val="000000"/>
          <w:kern w:val="2"/>
          <w:sz w:val="32"/>
          <w:szCs w:val="32"/>
          <w:lang w:val="en-US" w:eastAsia="zh-CN" w:bidi="ar-SA"/>
        </w:rPr>
        <w:t>举办2023年锡林郭勒盟企业内部创新方法大赛活动。开展2023年锡盟企业创新方法培训，共400余人参训。组织各企业科协参加内蒙古科协举办的2023年内蒙古创新方法</w:t>
      </w:r>
      <w:r>
        <w:rPr>
          <w:rFonts w:hint="eastAsia" w:ascii="仿宋_GB2312" w:hAnsi="仿宋_GB2312" w:eastAsia="仿宋_GB2312" w:cs="仿宋_GB2312"/>
          <w:color w:val="auto"/>
          <w:kern w:val="0"/>
          <w:sz w:val="32"/>
          <w:szCs w:val="24"/>
          <w:lang w:val="en-US" w:eastAsia="zh-CN" w:bidi="ar"/>
        </w:rPr>
        <w:t>深度学习应用培训班（第一期、第二期）和中国科协企业创新服务中心举办的“2023年‘打造学术品牌，服务企业创新’企业科协负责人能力提升行动”线上讲座，210余人参训。</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643" w:firstLineChars="200"/>
        <w:jc w:val="both"/>
        <w:textAlignment w:val="auto"/>
        <w:rPr>
          <w:rFonts w:ascii="Times New Roman" w:hAnsi="Times New Roman" w:eastAsia="Times New Roman" w:cs="Times New Roman"/>
          <w:kern w:val="0"/>
          <w:sz w:val="24"/>
        </w:rPr>
      </w:pPr>
      <w:r>
        <w:rPr>
          <w:rFonts w:hint="eastAsia" w:ascii="仿宋_GB2312" w:hAnsi="仿宋_GB2312" w:eastAsia="仿宋_GB2312" w:cs="仿宋_GB2312"/>
          <w:b/>
          <w:bCs/>
          <w:color w:val="000000"/>
          <w:kern w:val="2"/>
          <w:sz w:val="32"/>
          <w:szCs w:val="32"/>
          <w:lang w:val="en-US" w:eastAsia="zh-CN" w:bidi="ar-SA"/>
        </w:rPr>
        <w:t>2.科技小院助力乡村振兴初步取得成效。</w:t>
      </w:r>
      <w:r>
        <w:rPr>
          <w:rFonts w:hint="eastAsia" w:ascii="仿宋_GB2312" w:hAnsi="仿宋_GB2312" w:eastAsia="仿宋_GB2312" w:cs="仿宋_GB2312"/>
          <w:color w:val="000000"/>
          <w:kern w:val="2"/>
          <w:sz w:val="32"/>
          <w:szCs w:val="32"/>
          <w:lang w:val="en-US" w:eastAsia="zh-CN" w:bidi="ar-SA"/>
        </w:rPr>
        <w:t>深入学习贯彻习近平总书记给中国农大科技小院学生回信精神，大力支持科技小院建设。现有的4家科技小院中，内蒙古西乌马产业科技小院2023年采</w:t>
      </w:r>
      <w:r>
        <w:rPr>
          <w:rFonts w:hint="eastAsia" w:ascii="仿宋_GB2312" w:hAnsi="仿宋_GB2312" w:eastAsia="仿宋_GB2312" w:cs="仿宋_GB2312"/>
          <w:color w:val="auto"/>
          <w:kern w:val="0"/>
          <w:sz w:val="32"/>
          <w:szCs w:val="24"/>
          <w:lang w:val="en-US" w:eastAsia="zh-CN" w:bidi="ar"/>
        </w:rPr>
        <w:t>集蒙古马电子刷脸系统照片数据信息350匹。承担2023年西乌珠穆沁旗农牧业种质资源保护利用项目工作—蒙古马遗传材料采集10000支工作任务，完成制作12匹优秀蒙古马种公马精液10253支。内蒙古锡林浩特羊业科技小院开展线下培训4场，举办展览、宣传等科普活动3场。小院师生参与日常生产工作，对生产环节进行指导和规范，提高了养殖效率和经济效益。我盟科技小院专家成员1人荣获“中国农技协百强乡土人才”称号，2</w:t>
      </w:r>
      <w:r>
        <w:rPr>
          <w:rFonts w:hint="default" w:ascii="仿宋_GB2312" w:hAnsi="仿宋_GB2312" w:eastAsia="仿宋_GB2312" w:cs="仿宋_GB2312"/>
          <w:color w:val="auto"/>
          <w:kern w:val="0"/>
          <w:sz w:val="32"/>
          <w:szCs w:val="24"/>
          <w:lang w:val="en-US" w:eastAsia="zh-CN" w:bidi="ar"/>
        </w:rPr>
        <w:t>家单位入选“2023-2027年度中国农技协科普教育基地”</w:t>
      </w:r>
      <w:r>
        <w:rPr>
          <w:rFonts w:hint="eastAsia" w:ascii="仿宋_GB2312" w:hAnsi="仿宋_GB2312" w:eastAsia="仿宋_GB2312" w:cs="仿宋_GB2312"/>
          <w:color w:val="auto"/>
          <w:kern w:val="0"/>
          <w:sz w:val="32"/>
          <w:szCs w:val="24"/>
          <w:lang w:val="en-US" w:eastAsia="zh-CN" w:bidi="ar"/>
        </w:rPr>
        <w:t>荣誉称号。</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bCs/>
          <w:color w:val="000000"/>
          <w:kern w:val="0"/>
          <w:sz w:val="32"/>
          <w:szCs w:val="32"/>
        </w:rPr>
      </w:pPr>
      <w:r>
        <w:rPr>
          <w:rFonts w:hint="eastAsia" w:ascii="黑体" w:hAnsi="黑体" w:eastAsia="黑体" w:cs="黑体"/>
          <w:b/>
          <w:bCs/>
          <w:color w:val="000000"/>
          <w:kern w:val="0"/>
          <w:sz w:val="32"/>
          <w:szCs w:val="32"/>
        </w:rPr>
        <w:t>第二部分  单位决算情况说明</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锡林郭勒盟科学技术协会（本级） 2023年度收入、支出决算总计 399.55万元。与年初预算相比，收、支总计各减少 6.22万元，减少 1.53%，变动原因：本年度因人员退休导致各项经费减少；与上年决算相比，收、支总计各减少 4.98万元，减少 1.23%。其中：</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hint="eastAsia" w:ascii="楷体" w:hAnsi="楷体" w:eastAsia="楷体" w:cs="楷体"/>
          <w:kern w:val="0"/>
          <w:sz w:val="32"/>
          <w:szCs w:val="32"/>
        </w:rPr>
      </w:pPr>
      <w:r>
        <w:rPr>
          <w:rFonts w:hint="eastAsia" w:ascii="楷体" w:hAnsi="楷体" w:eastAsia="楷体" w:cs="楷体"/>
          <w:b/>
          <w:bCs/>
          <w:kern w:val="0"/>
          <w:sz w:val="32"/>
          <w:szCs w:val="32"/>
        </w:rPr>
        <w:t>（一）收入决算总计 399.55万元。包括：</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1.本年收入决算合计 399.53万元（包含上年结转资金53.99万元）。与上年决算相比，增加 5.01万元，增长1.27%，变动原因是本年度人员工资正常晋级各项人员经费均增加。</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2.使用非财政拨款结余和专用结余 0.02万元。与上年决算相比，增加 0.02万元，增长100%，变动原因：本单位使用非财政拨款结余。</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3.年初结转和结余0.00万元。与上年决算相比，减少10.00万元，减少100.00%，变动原因：本年全部完成列支。</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hint="eastAsia" w:ascii="楷体" w:hAnsi="楷体" w:eastAsia="楷体" w:cs="楷体"/>
          <w:b/>
          <w:bCs/>
          <w:kern w:val="0"/>
          <w:sz w:val="32"/>
          <w:szCs w:val="32"/>
        </w:rPr>
      </w:pPr>
      <w:r>
        <w:rPr>
          <w:rFonts w:hint="eastAsia" w:ascii="楷体" w:hAnsi="楷体" w:eastAsia="楷体" w:cs="楷体"/>
          <w:b/>
          <w:bCs/>
          <w:kern w:val="0"/>
          <w:sz w:val="32"/>
          <w:szCs w:val="32"/>
        </w:rPr>
        <w:t>（二）支出决算总计 399.55万元。包括：</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1.本年支出决算合计 399.55万元。与上年决算相比，减少 4.98万元，减少1.23%，变动原因：本年度因人员退休导致各项经费减少。</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2.结余分配 0.00万元。结转和结余事项：本年度本单位年末无结余资金。与上年决算相比，减少 0.02万元，减少100.00%，变动原因：本年度本单位年末无结余资金。</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3.年末结转和结余 0.00万元。结转和结余事项：本年度本单位年末无结转结余资金。与上年决算相比，减少 0.00万元，减少 100.00%，变动原因：不存在此项内容。</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二、收入决算情况说明</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锡林郭勒盟科学技术协会（本级） 2023年度本年收入决算合计 399.53万元，其中：</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本年一般公共预算财政拨款收入 399.53万元，占 100.00%；</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本年政府性基金预算财政拨款收入 0.00万元，占 0.00%；</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本年国有资本经营预算财政拨款收入 0.00万元，占 0.00%；</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本年上级补助收入 0.00万元，占 0.00%；</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本年事业收入 0.00万元，占 0.00%；</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本年经营收入 0.00万元，占 0.00%；</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本年附属单位上缴收入 0.00万元，占 0.00%；</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本年其他收入 0.00万元，占 0.00%。</w:t>
      </w:r>
    </w:p>
    <w:p>
      <w:pPr>
        <w:keepNext w:val="0"/>
        <w:keepLines w:val="0"/>
        <w:pageBreakBefore w:val="0"/>
        <w:widowControl/>
        <w:kinsoku/>
        <w:wordWrap/>
        <w:overflowPunct/>
        <w:topLinePunct w:val="0"/>
        <w:autoSpaceDE/>
        <w:autoSpaceDN/>
        <w:bidi w:val="0"/>
        <w:adjustRightInd/>
        <w:snapToGrid/>
        <w:spacing w:before="240" w:after="240" w:line="240" w:lineRule="auto"/>
        <w:ind w:firstLine="420" w:firstLineChars="200"/>
        <w:jc w:val="center"/>
        <w:rPr>
          <w:rFonts w:ascii="Times New Roman" w:hAnsi="Times New Roman" w:eastAsia="Times New Roman" w:cs="Times New Roman"/>
          <w:kern w:val="0"/>
          <w:sz w:val="24"/>
        </w:rPr>
      </w:pPr>
      <w:r>
        <w:drawing>
          <wp:inline distT="0" distB="0" distL="114300" distR="114300">
            <wp:extent cx="4826000" cy="2743200"/>
            <wp:effectExtent l="4445" t="4445" r="8255" b="14605"/>
            <wp:docPr id="4" name="图表 3" descr="7b0a202020202263686172745265734964223a2022323034363939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jc w:val="center"/>
        <w:rPr>
          <w:rFonts w:ascii="Times New Roman" w:hAnsi="Times New Roman" w:eastAsia="Times New Roman" w:cs="Times New Roman"/>
          <w:kern w:val="0"/>
          <w:sz w:val="24"/>
        </w:rPr>
      </w:pPr>
      <w:r>
        <w:rPr>
          <w:rFonts w:hint="eastAsia" w:ascii="仿宋" w:hAnsi="仿宋" w:eastAsia="仿宋" w:cs="仿宋"/>
          <w:kern w:val="0"/>
          <w:sz w:val="32"/>
          <w:szCs w:val="32"/>
        </w:rPr>
        <w:t>图1.收入决算图</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三、支出决算情况说明</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锡林郭勒盟科学技术协会（本级） 2023年度本年支出决算合计 399.55万元，其中：</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本年基本支出 327.76万元，占 82.03%；</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本年项目支出 71.79万元，占 17.97%；</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本年上缴上级支出 0.00万元，占 0.00%；</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本年经营支出 0.00万元，占 0.00%；</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本年对附属单位补助支出 0.00万元，占 0.00%。</w:t>
      </w:r>
    </w:p>
    <w:p>
      <w:pPr>
        <w:keepNext w:val="0"/>
        <w:keepLines w:val="0"/>
        <w:pageBreakBefore w:val="0"/>
        <w:widowControl/>
        <w:kinsoku/>
        <w:wordWrap/>
        <w:overflowPunct/>
        <w:topLinePunct w:val="0"/>
        <w:autoSpaceDE/>
        <w:autoSpaceDN/>
        <w:bidi w:val="0"/>
        <w:adjustRightInd/>
        <w:snapToGrid/>
        <w:spacing w:before="240" w:after="240" w:line="240" w:lineRule="auto"/>
        <w:ind w:firstLine="420" w:firstLineChars="200"/>
        <w:jc w:val="center"/>
        <w:rPr>
          <w:rFonts w:ascii="Times New Roman" w:hAnsi="Times New Roman" w:eastAsia="Times New Roman" w:cs="Times New Roman"/>
          <w:kern w:val="0"/>
          <w:sz w:val="24"/>
        </w:rPr>
      </w:pPr>
      <w:r>
        <w:drawing>
          <wp:inline distT="0" distB="0" distL="114300" distR="114300">
            <wp:extent cx="4826000" cy="2743200"/>
            <wp:effectExtent l="4445" t="4445" r="8255" b="14605"/>
            <wp:docPr id="1" name="图表 3" descr="7b0a202020202263686172745265734964223a2022323034363939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jc w:val="center"/>
        <w:rPr>
          <w:rFonts w:ascii="Times New Roman" w:hAnsi="Times New Roman" w:eastAsia="Times New Roman" w:cs="Times New Roman"/>
          <w:kern w:val="0"/>
          <w:sz w:val="24"/>
        </w:rPr>
      </w:pPr>
      <w:r>
        <w:rPr>
          <w:rFonts w:hint="eastAsia" w:ascii="仿宋" w:hAnsi="仿宋" w:eastAsia="仿宋" w:cs="仿宋"/>
          <w:kern w:val="0"/>
          <w:sz w:val="32"/>
          <w:szCs w:val="32"/>
        </w:rPr>
        <w:t>图2.支出决算图</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锡林郭勒盟科学技术协会（本级） 2023年度财政拨款收入、支出决算总计 399.53万元，与年初预算相比，收、支总计各减少 6.22万元，减少1.53%，变动原因：本年度因人员退休导致各项经费减少；与上年决算相比，收、支总计各减少 4.98万元，减少 1.23%，变动原因：本年度因人员退休导致各项经费减少。</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五、一般公共预算财政拨款支出决算情况说明</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锡林郭勒盟科学技术协会（本级） 2023年度一般公共预算财政拨款支出决算</w:t>
      </w:r>
      <w:r>
        <w:rPr>
          <w:rFonts w:hint="eastAsia" w:ascii="仿宋" w:hAnsi="仿宋" w:eastAsia="仿宋" w:cs="仿宋"/>
          <w:kern w:val="0"/>
          <w:sz w:val="32"/>
          <w:szCs w:val="32"/>
          <w:u w:val="single"/>
        </w:rPr>
        <w:t xml:space="preserve"> 399.53</w:t>
      </w:r>
      <w:r>
        <w:rPr>
          <w:rFonts w:hint="eastAsia" w:ascii="仿宋" w:hAnsi="仿宋" w:eastAsia="仿宋" w:cs="仿宋"/>
          <w:kern w:val="0"/>
          <w:sz w:val="32"/>
          <w:szCs w:val="32"/>
        </w:rPr>
        <w:t>万元。与年初预算</w:t>
      </w:r>
      <w:r>
        <w:rPr>
          <w:rFonts w:hint="eastAsia" w:ascii="仿宋" w:hAnsi="仿宋" w:eastAsia="仿宋" w:cs="仿宋"/>
          <w:kern w:val="0"/>
          <w:sz w:val="32"/>
          <w:szCs w:val="32"/>
          <w:u w:val="single"/>
        </w:rPr>
        <w:t xml:space="preserve"> 405.77</w:t>
      </w:r>
      <w:r>
        <w:rPr>
          <w:rFonts w:hint="eastAsia" w:ascii="仿宋" w:hAnsi="仿宋" w:eastAsia="仿宋" w:cs="仿宋"/>
          <w:kern w:val="0"/>
          <w:sz w:val="32"/>
          <w:szCs w:val="32"/>
        </w:rPr>
        <w:t>万元相比，完成年初预算的</w:t>
      </w:r>
      <w:r>
        <w:rPr>
          <w:rFonts w:hint="eastAsia" w:ascii="仿宋" w:hAnsi="仿宋" w:eastAsia="仿宋" w:cs="仿宋"/>
          <w:kern w:val="0"/>
          <w:sz w:val="32"/>
          <w:szCs w:val="32"/>
          <w:u w:val="single"/>
        </w:rPr>
        <w:t xml:space="preserve"> 98.46</w:t>
      </w:r>
      <w:r>
        <w:rPr>
          <w:rFonts w:hint="eastAsia" w:ascii="仿宋" w:hAnsi="仿宋" w:eastAsia="仿宋" w:cs="仿宋"/>
          <w:kern w:val="0"/>
          <w:sz w:val="32"/>
          <w:szCs w:val="32"/>
        </w:rPr>
        <w:t>%。其中：</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200" w:right="0" w:rightChars="0"/>
        <w:jc w:val="both"/>
        <w:textAlignment w:val="baseline"/>
        <w:rPr>
          <w:rFonts w:hint="eastAsia" w:ascii="仿宋" w:hAnsi="仿宋" w:eastAsia="仿宋" w:cs="仿宋"/>
          <w:kern w:val="0"/>
          <w:sz w:val="32"/>
          <w:szCs w:val="32"/>
        </w:rPr>
      </w:pPr>
      <w:r>
        <w:rPr>
          <w:rFonts w:hint="eastAsia" w:ascii="仿宋" w:hAnsi="仿宋" w:eastAsia="仿宋" w:cs="仿宋"/>
          <w:b/>
          <w:bCs/>
          <w:kern w:val="0"/>
          <w:sz w:val="32"/>
          <w:szCs w:val="32"/>
        </w:rPr>
        <w:t>（一）科学技术支出（类）</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科学技术支出决算数为</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u w:val="single"/>
          <w:lang w:val="en-US" w:eastAsia="zh-CN"/>
        </w:rPr>
        <w:t>303.89</w:t>
      </w:r>
      <w:r>
        <w:rPr>
          <w:rFonts w:hint="eastAsia" w:ascii="仿宋" w:hAnsi="仿宋" w:eastAsia="仿宋" w:cs="仿宋"/>
          <w:kern w:val="0"/>
          <w:sz w:val="32"/>
          <w:szCs w:val="32"/>
        </w:rPr>
        <w:t>万元，与年初预算相比</w:t>
      </w:r>
      <w:r>
        <w:rPr>
          <w:rFonts w:hint="eastAsia" w:ascii="仿宋" w:hAnsi="仿宋" w:eastAsia="仿宋" w:cs="仿宋"/>
          <w:kern w:val="0"/>
          <w:sz w:val="32"/>
          <w:szCs w:val="32"/>
          <w:lang w:eastAsia="zh-CN"/>
        </w:rPr>
        <w:t>减</w:t>
      </w:r>
      <w:r>
        <w:rPr>
          <w:rFonts w:hint="eastAsia" w:ascii="仿宋" w:hAnsi="仿宋" w:eastAsia="仿宋" w:cs="仿宋"/>
          <w:kern w:val="0"/>
          <w:sz w:val="32"/>
          <w:szCs w:val="32"/>
        </w:rPr>
        <w:t>少</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u w:val="single"/>
          <w:lang w:val="en-US" w:eastAsia="zh-CN"/>
        </w:rPr>
        <w:t>0.73</w:t>
      </w:r>
      <w:r>
        <w:rPr>
          <w:rFonts w:hint="eastAsia" w:ascii="仿宋" w:hAnsi="仿宋" w:eastAsia="仿宋" w:cs="仿宋"/>
          <w:kern w:val="0"/>
          <w:sz w:val="32"/>
          <w:szCs w:val="32"/>
        </w:rPr>
        <w:t>万元。其中：</w:t>
      </w:r>
    </w:p>
    <w:p>
      <w:pPr>
        <w:keepNext w:val="0"/>
        <w:keepLines w:val="0"/>
        <w:pageBreakBefore w:val="0"/>
        <w:widowControl/>
        <w:numPr>
          <w:ilvl w:val="0"/>
          <w:numId w:val="1"/>
        </w:numPr>
        <w:kinsoku/>
        <w:wordWrap/>
        <w:overflowPunct/>
        <w:topLinePunct w:val="0"/>
        <w:autoSpaceDE/>
        <w:autoSpaceDN/>
        <w:bidi w:val="0"/>
        <w:adjustRightInd/>
        <w:snapToGrid/>
        <w:spacing w:before="240" w:after="240" w:line="240" w:lineRule="auto"/>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lang w:eastAsia="zh-CN"/>
        </w:rPr>
        <w:t>科学技术普及（款）机构运行（项）</w:t>
      </w:r>
      <w:r>
        <w:rPr>
          <w:rFonts w:hint="eastAsia" w:ascii="仿宋" w:hAnsi="仿宋" w:eastAsia="仿宋" w:cs="仿宋"/>
          <w:kern w:val="0"/>
          <w:sz w:val="32"/>
          <w:szCs w:val="32"/>
        </w:rPr>
        <w:t>。年初预算</w:t>
      </w:r>
      <w:r>
        <w:rPr>
          <w:rFonts w:hint="eastAsia" w:ascii="仿宋" w:hAnsi="仿宋" w:eastAsia="仿宋" w:cs="仿宋"/>
          <w:kern w:val="0"/>
          <w:sz w:val="32"/>
          <w:szCs w:val="32"/>
          <w:u w:val="single"/>
          <w:lang w:val="en-US" w:eastAsia="zh-CN"/>
        </w:rPr>
        <w:t>236.95</w:t>
      </w:r>
      <w:r>
        <w:rPr>
          <w:rFonts w:hint="eastAsia" w:ascii="仿宋" w:hAnsi="仿宋" w:eastAsia="仿宋" w:cs="仿宋"/>
          <w:kern w:val="0"/>
          <w:sz w:val="32"/>
          <w:szCs w:val="32"/>
        </w:rPr>
        <w:t>万元，支出决算</w:t>
      </w:r>
      <w:r>
        <w:rPr>
          <w:rFonts w:hint="eastAsia" w:ascii="仿宋" w:hAnsi="仿宋" w:eastAsia="仿宋" w:cs="仿宋"/>
          <w:kern w:val="0"/>
          <w:sz w:val="32"/>
          <w:szCs w:val="32"/>
          <w:u w:val="single"/>
          <w:lang w:val="en-US" w:eastAsia="zh-CN"/>
        </w:rPr>
        <w:t>236.42</w:t>
      </w:r>
      <w:r>
        <w:rPr>
          <w:rFonts w:hint="eastAsia" w:ascii="仿宋" w:hAnsi="仿宋" w:eastAsia="仿宋" w:cs="仿宋"/>
          <w:kern w:val="0"/>
          <w:sz w:val="32"/>
          <w:szCs w:val="32"/>
        </w:rPr>
        <w:t>万元，完成年初预算的</w:t>
      </w:r>
      <w:r>
        <w:rPr>
          <w:rFonts w:hint="eastAsia" w:ascii="仿宋" w:hAnsi="仿宋" w:eastAsia="仿宋" w:cs="仿宋"/>
          <w:kern w:val="0"/>
          <w:sz w:val="32"/>
          <w:szCs w:val="32"/>
          <w:u w:val="single"/>
          <w:lang w:val="en-US" w:eastAsia="zh-CN"/>
        </w:rPr>
        <w:t>99.78</w:t>
      </w:r>
      <w:r>
        <w:rPr>
          <w:rFonts w:hint="eastAsia" w:ascii="仿宋" w:hAnsi="仿宋" w:eastAsia="仿宋" w:cs="仿宋"/>
          <w:kern w:val="0"/>
          <w:sz w:val="32"/>
          <w:szCs w:val="32"/>
        </w:rPr>
        <w:t>%。决算数与年初预算数的差异原因：</w:t>
      </w:r>
      <w:r>
        <w:rPr>
          <w:rFonts w:hint="eastAsia" w:ascii="仿宋" w:hAnsi="仿宋" w:eastAsia="仿宋" w:cs="仿宋"/>
          <w:kern w:val="0"/>
          <w:sz w:val="32"/>
          <w:szCs w:val="32"/>
          <w:lang w:eastAsia="zh-CN"/>
        </w:rPr>
        <w:t>本年度因人员退休，比年初预算减少金额均为人员工资经费。</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2．</w:t>
      </w:r>
      <w:r>
        <w:rPr>
          <w:rFonts w:hint="eastAsia" w:ascii="仿宋" w:hAnsi="仿宋" w:eastAsia="仿宋" w:cs="仿宋"/>
          <w:kern w:val="0"/>
          <w:sz w:val="32"/>
          <w:szCs w:val="32"/>
          <w:lang w:eastAsia="zh-CN"/>
        </w:rPr>
        <w:t>科学技术普及（款）科普活动（项），年初预算</w:t>
      </w:r>
      <w:r>
        <w:rPr>
          <w:rFonts w:hint="eastAsia" w:ascii="仿宋" w:hAnsi="仿宋" w:eastAsia="仿宋" w:cs="仿宋"/>
          <w:kern w:val="0"/>
          <w:sz w:val="32"/>
          <w:szCs w:val="32"/>
          <w:lang w:val="en-US" w:eastAsia="zh-CN"/>
        </w:rPr>
        <w:t>67.67万元，支出决算67.47万元，完成年初预算的99.7%。决算数与年初预算数的差异原因是本年度业务活动较上年活动略微减少。</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bCs/>
          <w:kern w:val="0"/>
          <w:sz w:val="32"/>
          <w:szCs w:val="32"/>
        </w:rPr>
        <w:t>（</w:t>
      </w:r>
      <w:r>
        <w:rPr>
          <w:rFonts w:hint="eastAsia" w:ascii="仿宋" w:hAnsi="仿宋" w:eastAsia="仿宋" w:cs="仿宋"/>
          <w:b/>
          <w:bCs/>
          <w:kern w:val="0"/>
          <w:sz w:val="32"/>
          <w:szCs w:val="32"/>
          <w:lang w:eastAsia="zh-CN"/>
        </w:rPr>
        <w:t>二</w:t>
      </w:r>
      <w:r>
        <w:rPr>
          <w:rFonts w:hint="eastAsia" w:ascii="仿宋" w:hAnsi="仿宋" w:eastAsia="仿宋" w:cs="仿宋"/>
          <w:b/>
          <w:bCs/>
          <w:kern w:val="0"/>
          <w:sz w:val="32"/>
          <w:szCs w:val="32"/>
        </w:rPr>
        <w:t>）社会保障和就业支出（类）</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社会保障和就业支出类决算数为 46.51万元，与年初预算相同。其中：</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jc w:val="left"/>
        <w:textAlignment w:val="auto"/>
        <w:rPr>
          <w:rFonts w:hint="eastAsia" w:ascii="仿宋" w:hAnsi="仿宋" w:eastAsia="仿宋" w:cs="仿宋"/>
          <w:color w:val="auto"/>
          <w:kern w:val="0"/>
          <w:sz w:val="32"/>
          <w:szCs w:val="32"/>
          <w:lang w:eastAsia="zh-CN"/>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．行政事业单位养老支出（款）机关事业单位基本养老保险缴费支出（项）。年初预算</w:t>
      </w:r>
      <w:r>
        <w:rPr>
          <w:rFonts w:hint="eastAsia" w:ascii="仿宋" w:hAnsi="仿宋" w:eastAsia="仿宋" w:cs="仿宋"/>
          <w:kern w:val="0"/>
          <w:sz w:val="32"/>
          <w:szCs w:val="32"/>
          <w:lang w:val="en-US" w:eastAsia="zh-CN"/>
        </w:rPr>
        <w:t>25.19</w:t>
      </w:r>
      <w:r>
        <w:rPr>
          <w:rFonts w:hint="eastAsia" w:ascii="仿宋" w:hAnsi="仿宋" w:eastAsia="仿宋" w:cs="仿宋"/>
          <w:kern w:val="0"/>
          <w:sz w:val="32"/>
          <w:szCs w:val="32"/>
          <w:lang w:eastAsia="zh-CN"/>
        </w:rPr>
        <w:t>万元，支出决算</w:t>
      </w:r>
      <w:r>
        <w:rPr>
          <w:rFonts w:hint="eastAsia" w:ascii="仿宋" w:hAnsi="仿宋" w:eastAsia="仿宋" w:cs="仿宋"/>
          <w:kern w:val="0"/>
          <w:sz w:val="32"/>
          <w:szCs w:val="32"/>
          <w:lang w:val="en-US" w:eastAsia="zh-CN"/>
        </w:rPr>
        <w:t>22.07</w:t>
      </w:r>
      <w:r>
        <w:rPr>
          <w:rFonts w:hint="eastAsia" w:ascii="仿宋" w:hAnsi="仿宋" w:eastAsia="仿宋" w:cs="仿宋"/>
          <w:kern w:val="0"/>
          <w:sz w:val="32"/>
          <w:szCs w:val="32"/>
          <w:lang w:eastAsia="zh-CN"/>
        </w:rPr>
        <w:t>万元，完成年初预算的</w:t>
      </w:r>
      <w:r>
        <w:rPr>
          <w:rFonts w:hint="eastAsia" w:ascii="仿宋" w:hAnsi="仿宋" w:eastAsia="仿宋" w:cs="仿宋"/>
          <w:kern w:val="0"/>
          <w:sz w:val="32"/>
          <w:szCs w:val="32"/>
          <w:lang w:val="en-US" w:eastAsia="zh-CN"/>
        </w:rPr>
        <w:t>87.61</w:t>
      </w:r>
      <w:r>
        <w:rPr>
          <w:rFonts w:hint="eastAsia" w:ascii="仿宋" w:hAnsi="仿宋" w:eastAsia="仿宋" w:cs="仿宋"/>
          <w:kern w:val="0"/>
          <w:sz w:val="32"/>
          <w:szCs w:val="32"/>
          <w:lang w:eastAsia="zh-CN"/>
        </w:rPr>
        <w:t>%。决算数与年初预算</w:t>
      </w:r>
      <w:r>
        <w:rPr>
          <w:rFonts w:hint="eastAsia" w:ascii="仿宋" w:hAnsi="仿宋" w:eastAsia="仿宋" w:cs="仿宋"/>
          <w:color w:val="auto"/>
          <w:kern w:val="0"/>
          <w:sz w:val="32"/>
          <w:szCs w:val="32"/>
          <w:lang w:eastAsia="zh-CN"/>
        </w:rPr>
        <w:t>数的</w:t>
      </w:r>
      <w:r>
        <w:rPr>
          <w:rFonts w:hint="eastAsia" w:ascii="仿宋" w:hAnsi="仿宋" w:eastAsia="仿宋" w:cs="仿宋"/>
          <w:kern w:val="0"/>
          <w:sz w:val="32"/>
          <w:szCs w:val="32"/>
          <w:lang w:eastAsia="zh-CN"/>
        </w:rPr>
        <w:t>差异原因</w:t>
      </w:r>
      <w:r>
        <w:rPr>
          <w:rFonts w:hint="eastAsia" w:ascii="仿宋" w:hAnsi="仿宋" w:eastAsia="仿宋" w:cs="仿宋"/>
          <w:color w:val="auto"/>
          <w:kern w:val="0"/>
          <w:sz w:val="32"/>
          <w:szCs w:val="32"/>
          <w:lang w:eastAsia="zh-CN"/>
        </w:rPr>
        <w:t>：由于两名在职人员转退休，养老保险基数有所下调，因此养老保险缴费支出比预算减少。</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3．行政事业单位养老支出（款）机关事业单位职业年金缴费支出（项）。年初预算7万元，支出决算10.7万元，完成年初预算的152.86%。决算数与年初预算数的差异原因：年初预算略小。</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bCs/>
          <w:kern w:val="0"/>
          <w:sz w:val="32"/>
          <w:szCs w:val="32"/>
        </w:rPr>
        <w:t>（</w:t>
      </w:r>
      <w:r>
        <w:rPr>
          <w:rFonts w:hint="eastAsia" w:ascii="仿宋" w:hAnsi="仿宋" w:eastAsia="仿宋" w:cs="仿宋"/>
          <w:b/>
          <w:bCs/>
          <w:kern w:val="0"/>
          <w:sz w:val="32"/>
          <w:szCs w:val="32"/>
          <w:lang w:eastAsia="zh-CN"/>
        </w:rPr>
        <w:t>三</w:t>
      </w:r>
      <w:r>
        <w:rPr>
          <w:rFonts w:hint="eastAsia" w:ascii="仿宋" w:hAnsi="仿宋" w:eastAsia="仿宋" w:cs="仿宋"/>
          <w:b/>
          <w:bCs/>
          <w:kern w:val="0"/>
          <w:sz w:val="32"/>
          <w:szCs w:val="32"/>
        </w:rPr>
        <w:t>）卫生健康支出（类）</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卫生健康支出类决算数为 24.16万元，与年初预算相比减少 1.70万元。其中：</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1.公共卫生（款）突发公共卫生事件应急处理（项）。年初预算4.32万元，支出决算4.32万元，完成年初预算的100%。决算数与年初预算数的差异原因：预决算数无差异。</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2.行政事业单位医疗（款）行政单位医疗（项）。年初预算18.73万元，支出决算17.21万元，完成年初预算的91.88%。决算数与年初预算数的差异原因：由于两名在职人员转退休，基本医疗保险基数有所下调，因此基本医疗保险缴费支出比预算减少。 </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3．行政事业单位医疗（款）公务员医疗补助（项）。年初预算2.81万元，支出决算</w:t>
      </w:r>
      <w:bookmarkStart w:id="1" w:name="_GoBack"/>
      <w:r>
        <w:rPr>
          <w:rFonts w:hint="eastAsia" w:ascii="仿宋" w:hAnsi="仿宋" w:eastAsia="仿宋" w:cs="仿宋"/>
          <w:kern w:val="0"/>
          <w:sz w:val="32"/>
          <w:szCs w:val="32"/>
          <w:lang w:val="en-US" w:eastAsia="zh-CN"/>
        </w:rPr>
        <w:t>2.62万元，完成年初预算的93.24%。决算数与年初预算数的差异原因：由于两名在职人员转退休，公务员医疗补助基数有所下调，因此公务员医疗补助缴费支出比预算减少。</w:t>
      </w:r>
    </w:p>
    <w:bookmarkEnd w:id="1"/>
    <w:p>
      <w:pPr>
        <w:keepNext w:val="0"/>
        <w:keepLines w:val="0"/>
        <w:pageBreakBefore w:val="0"/>
        <w:widowControl/>
        <w:kinsoku/>
        <w:wordWrap/>
        <w:overflowPunct/>
        <w:topLinePunct w:val="0"/>
        <w:autoSpaceDE/>
        <w:autoSpaceDN/>
        <w:bidi w:val="0"/>
        <w:adjustRightInd/>
        <w:snapToGrid/>
        <w:spacing w:before="240" w:after="240" w:line="240" w:lineRule="auto"/>
        <w:ind w:left="0" w:firstLine="643" w:firstLineChars="200"/>
        <w:jc w:val="left"/>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w:t>
      </w:r>
      <w:r>
        <w:rPr>
          <w:rFonts w:hint="eastAsia" w:ascii="仿宋" w:hAnsi="仿宋" w:eastAsia="仿宋" w:cs="仿宋"/>
          <w:b/>
          <w:bCs/>
          <w:kern w:val="0"/>
          <w:sz w:val="32"/>
          <w:szCs w:val="32"/>
          <w:lang w:eastAsia="zh-CN"/>
        </w:rPr>
        <w:t>四</w:t>
      </w:r>
      <w:r>
        <w:rPr>
          <w:rFonts w:hint="eastAsia" w:ascii="仿宋" w:hAnsi="仿宋" w:eastAsia="仿宋" w:cs="仿宋"/>
          <w:b/>
          <w:bCs/>
          <w:kern w:val="0"/>
          <w:sz w:val="32"/>
          <w:szCs w:val="32"/>
        </w:rPr>
        <w:t>）住房保障支出（类）</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住房保障支出类决算数为 24.98万元，与年初预算相比减少 3.79万元。其中：</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住房改革支出（款）住房公积金（项）。年初预算24.32万元，支出决算21.03万元，完成年初预算的86.47%。决算数与年初预算数的差异原因：由于两名在职人员退休，因此住房公积金缴费支出比预算减少。</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住房改革支出（款）购房补贴（项）。年初预算4.45万元，支出决算3.95万元，完成年初预算的88.76%。决算数与年初预算数的差异原因：由于部分人员购房补贴缴费基数有所下调，因此购房补贴支出比预算有所减少。</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六、一般公共预算财政拨款基本支出决算情况说明</w:t>
      </w:r>
    </w:p>
    <w:p>
      <w:pPr>
        <w:keepNext w:val="0"/>
        <w:keepLines w:val="0"/>
        <w:pageBreakBefore w:val="0"/>
        <w:widowControl/>
        <w:kinsoku/>
        <w:wordWrap/>
        <w:overflowPunct/>
        <w:topLinePunct w:val="0"/>
        <w:autoSpaceDE/>
        <w:autoSpaceDN/>
        <w:bidi w:val="0"/>
        <w:adjustRightInd/>
        <w:snapToGrid/>
        <w:spacing w:before="240" w:after="240" w:line="240" w:lineRule="auto"/>
        <w:ind w:left="0"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锡林郭勒盟科学技术协会（本级） 2023年度一般公共预算财政拨款基本支出决算 327.76万元，其中：</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w:t>
      </w:r>
      <w:r>
        <w:rPr>
          <w:rFonts w:hint="eastAsia" w:ascii="仿宋" w:hAnsi="仿宋" w:eastAsia="仿宋" w:cs="仿宋"/>
          <w:b/>
          <w:bCs/>
          <w:kern w:val="2"/>
          <w:sz w:val="32"/>
          <w:szCs w:val="32"/>
          <w:lang w:val="en-US" w:eastAsia="zh-CN" w:bidi="ar-SA"/>
        </w:rPr>
        <w:t>（一）人员经费 297.93万元。</w:t>
      </w:r>
      <w:r>
        <w:rPr>
          <w:rFonts w:hint="eastAsia" w:ascii="仿宋" w:hAnsi="仿宋" w:eastAsia="仿宋" w:cs="仿宋"/>
          <w:kern w:val="2"/>
          <w:sz w:val="32"/>
          <w:szCs w:val="32"/>
          <w:lang w:val="en-US" w:eastAsia="zh-CN" w:bidi="ar-SA"/>
        </w:rPr>
        <w:t>主要包括：基本工资67.39万元、津贴补贴78.08万元、奖金21.91万元、、机关事业单位基本养老保险缴费22.07 万元、职业年金缴费10.70万元、职工基本医疗保险缴费 8.52 万元、公务员医疗补助缴费 1.30 万元、其他社会保障缴费 2.15万元、住房公积金 21.03 万元、其他工资福利支出 41.02万元、退休费 13.74 万元、医疗费补助10.02万元。</w:t>
      </w:r>
    </w:p>
    <w:p>
      <w:pPr>
        <w:keepNext w:val="0"/>
        <w:keepLines w:val="0"/>
        <w:pageBreakBefore w:val="0"/>
        <w:widowControl/>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（二）公用经费 29.83万元。</w:t>
      </w:r>
      <w:r>
        <w:rPr>
          <w:rFonts w:hint="eastAsia" w:ascii="仿宋" w:hAnsi="仿宋" w:eastAsia="仿宋" w:cs="仿宋"/>
          <w:kern w:val="2"/>
          <w:sz w:val="32"/>
          <w:szCs w:val="32"/>
          <w:lang w:val="en-US" w:eastAsia="zh-CN" w:bidi="ar-SA"/>
        </w:rPr>
        <w:t>主要包括：办公费5.19万元、邮电费0.54万元、差旅费0.31万元、维修（护）费0.62万元、公务接待费0.09万元、工会经费3.95万元、福利费3.47万元、公务用车运行维护费1.71万元、其他交通费用13.28万元、其他商品和服务支出0.67万元。</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七、一般公共预算财政拨款项目支出决算情况说明</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锡林郭勒盟科学技术协会（本级） 2023年度一般公共预算财政拨款项目支出决算 71.79万元，其中：</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rPr>
          <w:rFonts w:hint="eastAsia" w:ascii="仿宋" w:hAnsi="仿宋" w:eastAsia="仿宋" w:cs="仿宋"/>
          <w:kern w:val="0"/>
          <w:sz w:val="32"/>
          <w:szCs w:val="32"/>
          <w:lang w:val="en-US" w:eastAsia="zh-CN"/>
        </w:rPr>
      </w:pPr>
      <w:r>
        <w:rPr>
          <w:rFonts w:hint="eastAsia" w:ascii="仿宋" w:hAnsi="仿宋" w:eastAsia="仿宋" w:cs="仿宋"/>
          <w:b/>
          <w:bCs/>
          <w:kern w:val="0"/>
          <w:sz w:val="32"/>
          <w:szCs w:val="32"/>
          <w:lang w:val="en-US" w:eastAsia="zh-CN"/>
        </w:rPr>
        <w:t>（一）商品和服务支出 69.34万元。</w:t>
      </w:r>
      <w:r>
        <w:rPr>
          <w:rFonts w:hint="eastAsia" w:ascii="仿宋" w:hAnsi="仿宋" w:eastAsia="仿宋" w:cs="仿宋"/>
          <w:kern w:val="0"/>
          <w:sz w:val="32"/>
          <w:szCs w:val="32"/>
          <w:lang w:val="en-US" w:eastAsia="zh-CN"/>
        </w:rPr>
        <w:t>主要包括：办公费13.44万元、邮电费0.19万元、印刷费1.14万元、差旅费11.25万元、会议费8.06万元、培训费0.52万元、专用材料费6.23万元、劳务费6.52万元、委托业务费4.82万元、其他交通费用2.71万元、、其他商品和服务支出14.46万元。</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rPr>
          <w:rFonts w:ascii="Times New Roman" w:hAnsi="Times New Roman" w:eastAsia="Times New Roman" w:cs="Times New Roman"/>
          <w:kern w:val="0"/>
          <w:sz w:val="24"/>
        </w:rPr>
      </w:pPr>
      <w:r>
        <w:rPr>
          <w:rFonts w:hint="eastAsia" w:ascii="仿宋" w:hAnsi="仿宋" w:eastAsia="仿宋" w:cs="仿宋"/>
          <w:b/>
          <w:bCs/>
          <w:kern w:val="0"/>
          <w:sz w:val="32"/>
          <w:szCs w:val="32"/>
          <w:lang w:val="en-US" w:eastAsia="zh-CN"/>
        </w:rPr>
        <w:t>（二）资本性支出 2.45 万元。</w:t>
      </w:r>
      <w:r>
        <w:rPr>
          <w:rFonts w:hint="eastAsia" w:ascii="仿宋" w:hAnsi="仿宋" w:eastAsia="仿宋" w:cs="仿宋"/>
          <w:kern w:val="0"/>
          <w:sz w:val="32"/>
          <w:szCs w:val="32"/>
          <w:lang w:val="en-US" w:eastAsia="zh-CN"/>
        </w:rPr>
        <w:t>主要包括：办公设备购置 2.45万元</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八、财政拨款“三公”经费支出决算情况说明</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楷体" w:hAnsi="楷体" w:eastAsia="楷体" w:cs="楷体"/>
          <w:kern w:val="0"/>
          <w:sz w:val="32"/>
          <w:szCs w:val="32"/>
        </w:rPr>
      </w:pPr>
      <w:r>
        <w:rPr>
          <w:rFonts w:hint="eastAsia" w:ascii="楷体" w:hAnsi="楷体" w:eastAsia="楷体" w:cs="楷体"/>
          <w:b/>
          <w:bCs/>
          <w:kern w:val="0"/>
          <w:sz w:val="32"/>
          <w:szCs w:val="32"/>
        </w:rPr>
        <w:t>（一）财政拨款“三公”经费支出总体情况说明。</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锡林郭勒盟科学技术协会（本级） 2023年度财政拨款“三公”经费全年预算 1.80万元，支出决算 1.80万元，完成预算的 100.00%。其中：因公出国（境）费全年预算 0.00万元，支出决算 0.00万元，完成预算的0%；公务用车购置及运行维护费全年预算 1.71万元，支出决算 1.71万元，完成预算的 100.00%；公务接待费全年预算 0.09万元，支出决算 0.09万元，完成预算的 100.00%。2023年度一般公共预算财政拨款“三公”经费支出决算与预算无差异。</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楷体" w:hAnsi="楷体" w:eastAsia="楷体" w:cs="楷体"/>
          <w:b/>
          <w:bCs/>
          <w:kern w:val="0"/>
          <w:sz w:val="32"/>
          <w:szCs w:val="32"/>
        </w:rPr>
      </w:pPr>
      <w:r>
        <w:rPr>
          <w:rFonts w:hint="eastAsia" w:ascii="楷体" w:hAnsi="楷体" w:eastAsia="楷体" w:cs="楷体"/>
          <w:b/>
          <w:bCs/>
          <w:kern w:val="0"/>
          <w:sz w:val="32"/>
          <w:szCs w:val="32"/>
        </w:rPr>
        <w:t>（二）财政拨款“三公”经费支出具体情况说明。</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锡林郭勒盟科学技术协会（本级） 2023年度财政拨款“三公”经费支出 1.80万元。因公出国（境）费支出 0.00万元，占 0.00%；公务用车购置及运行维护费支出 1.71万元，占 94.97%；公务接待费支出 0.09万元，占 5.03%。其中：</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1.因公出国（境）费支出 0.00万元，全年出国（境）团组0 个，累计0 人次。与上年决算相比，增加（减少） 0.00万元，增长（减少） 0.00%，变动原因：主要是上年和今年本单位均未安排因公出国任务。</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2.公务用车购置及运行维护费支出 1.71万元。其中：</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（1）公务用车购置支出 0.00万元。本年度使用财政拨款购置公务用车0 辆，开支内容：我单位本年度无公务用车购置。与上年决算相比，增加 0.00万元，增长（减少） 0%，变动原因：本单位无公务用车购置支出。</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（2）公务用车运行维护费支出 1.71万元。公务用车运行维护费主要用于按规定保留的公务用车的燃料费、维修费、过桥过路费、保险费、安全奖励费用等支出。截至2023年12月31日，使用财政拨款开支的公务用车保有量为1 辆。与上年决算相比减少 1.37万元，减少 44.48%，变动原因：本年业务活动有所减少，公务用车维修比上年减少。</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ascii="Times New Roman" w:hAnsi="Times New Roman" w:eastAsia="Times New Roman" w:cs="Times New Roman"/>
          <w:kern w:val="0"/>
          <w:sz w:val="24"/>
        </w:rPr>
      </w:pPr>
      <w:r>
        <w:rPr>
          <w:rFonts w:hint="eastAsia" w:ascii="仿宋" w:hAnsi="仿宋" w:eastAsia="仿宋" w:cs="仿宋"/>
          <w:kern w:val="0"/>
          <w:sz w:val="32"/>
          <w:szCs w:val="32"/>
          <w:lang w:val="en-US" w:eastAsia="zh-CN"/>
        </w:rPr>
        <w:t>3.公务接待费支出 0.09万元。其中：国内公务接待支出 0.09万元，接待1 批次，10 人次，开支内容：开展业务活动发生的费用；国（境）外公务接待支出 0.00万元，接待0 批次，0 人次，开支内容：本单位本单位本年度无国（境）外接待费。与上年决算相比，增加 0.06万元，增长（减少） 184.91%，变动原因：由于上年度疫情原因，公务接待活动取消，而本年业务活动有所增加，因此公务接待费用有所增长。</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九、政府性基金预算财政拨款支出决算情况说明</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锡林郭勒盟科学技术协会（本级） 2023年度政府性基金预算财政拨款支出决算 0.00万元。与上年决算相比，增加（减少） 0.00万元，增长0%，变动原因：本年无政府性基金预算财政拨款收、支、余。</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十、国有资本经营预算财政拨款支出决算情况说明</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锡林郭勒盟科学技术协会（本级） 2023年度国有资本经营预算财政拨款支出决算 0.00万元。与上年决算相比，增加（减少） 0.00万元，增长0%，变动原因本年无政府性基金预算财政拨款收、支、余。    </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十一、机构运行经费支出决算情况说明</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 锡林郭勒盟科学技术协会（本级） 2023年度机构运行经费支出决算 29.83万元。其中：办公费5.19万元、邮电费0.54万元、差旅费0.31万元、维修（护）费0.62万元、公务接待费0.09万元、工会经费3.95万元、福利费3.47万元、公务用车运行维护费1.71万元、其他交通费用13.28万元、其他商品和服务支出0.67万元。</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ascii="Times New Roman" w:hAnsi="Times New Roman" w:eastAsia="Times New Roman" w:cs="Times New Roman"/>
          <w:kern w:val="0"/>
          <w:sz w:val="24"/>
        </w:rPr>
      </w:pPr>
      <w:r>
        <w:rPr>
          <w:rFonts w:hint="eastAsia" w:ascii="仿宋" w:hAnsi="仿宋" w:eastAsia="仿宋" w:cs="仿宋"/>
          <w:kern w:val="0"/>
          <w:sz w:val="32"/>
          <w:szCs w:val="32"/>
          <w:lang w:val="en-US" w:eastAsia="zh-CN"/>
        </w:rPr>
        <w:t>比上年决算相比，增加 0.18万元，增长 0.61%，变动原因：本年业务活动比上年增加，机构运行经费支出相应增加。</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十二、政府采购支出决算情况说明</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锡林郭勒盟科学技术协会（本级） 2023年度政府采购支出总额 4.13万元，其中：政府采购货物支出 1.35万元、政府采购工程支出 0.00万元、政府采购服务支出 2.78万元。政府采购授予中小企业合同金额 1.15万元，占政府采购支出总额的27.85%，其中：授予小微企业合同金额  1.15万元，占政府采购支出总额的27.85%；货物采购授予中小企业合同金额占货物支出金额的0%，工程采购授予中小企业合同金额占工程支出金额的0%，服务采购授予中小企业合同金额占服务支出金额的0%。</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rPr>
          <w:rFonts w:ascii="黑体" w:hAnsi="黑体" w:eastAsia="黑体" w:cs="黑体"/>
          <w:b/>
          <w:bCs/>
          <w:kern w:val="0"/>
          <w:sz w:val="32"/>
          <w:szCs w:val="32"/>
        </w:rPr>
      </w:pPr>
      <w:r>
        <w:rPr>
          <w:rFonts w:ascii="黑体" w:hAnsi="黑体" w:eastAsia="黑体" w:cs="黑体"/>
          <w:b/>
          <w:bCs/>
          <w:kern w:val="0"/>
          <w:sz w:val="32"/>
          <w:szCs w:val="32"/>
        </w:rPr>
        <w:t>十三、国有资产占用情况说明</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ascii="Times New Roman" w:hAnsi="Times New Roman" w:eastAsia="Times New Roman" w:cs="Times New Roman"/>
          <w:kern w:val="0"/>
          <w:sz w:val="24"/>
        </w:rPr>
      </w:pPr>
      <w:r>
        <w:rPr>
          <w:rFonts w:hint="eastAsia" w:ascii="仿宋" w:hAnsi="仿宋" w:eastAsia="仿宋" w:cs="仿宋"/>
          <w:kern w:val="0"/>
          <w:sz w:val="32"/>
          <w:szCs w:val="32"/>
          <w:lang w:val="en-US" w:eastAsia="zh-CN"/>
        </w:rPr>
        <w:t>锡林郭勒盟科学技术协会（本级） 截至2023年12月31日，本部门（单位）共有车辆 1辆，其中：副部（省）级及以上领导用车0 辆、主要负责人用车 0辆、机要通信用车 1辆、应急保障用车 0辆、执法执勤用车 0辆、特种专业技术用车 0辆、离退休干部服务用车 0辆，其他用车 0辆；单价100万元（含）以上的设备（不含车辆） 0台（套）。</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left"/>
        <w:textAlignment w:val="auto"/>
        <w:rPr>
          <w:rFonts w:ascii="黑体" w:hAnsi="黑体" w:eastAsia="黑体" w:cs="黑体"/>
          <w:b/>
          <w:bCs/>
          <w:kern w:val="0"/>
          <w:sz w:val="32"/>
          <w:szCs w:val="32"/>
        </w:rPr>
      </w:pPr>
      <w:r>
        <w:rPr>
          <w:rFonts w:ascii="黑体" w:hAnsi="黑体" w:eastAsia="黑体" w:cs="黑体"/>
          <w:b/>
          <w:bCs/>
          <w:kern w:val="0"/>
          <w:sz w:val="32"/>
          <w:szCs w:val="32"/>
        </w:rPr>
        <w:t>十四、预算绩效情况说明</w:t>
      </w:r>
    </w:p>
    <w:p>
      <w:pPr>
        <w:keepNext w:val="0"/>
        <w:keepLines w:val="0"/>
        <w:pageBreakBefore w:val="0"/>
        <w:widowControl/>
        <w:kinsoku/>
        <w:wordWrap/>
        <w:overflowPunct/>
        <w:topLinePunct w:val="0"/>
        <w:autoSpaceDE/>
        <w:autoSpaceDN/>
        <w:bidi w:val="0"/>
        <w:adjustRightInd/>
        <w:snapToGrid/>
        <w:spacing w:before="240" w:after="240" w:line="240" w:lineRule="auto"/>
        <w:ind w:firstLine="540" w:firstLineChars="20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（一）预算绩效管理工作开展情况。</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锡林郭勒盟科学技术协会（本级） 根据预算绩效管理要求组织对2023年一般公共预算项目支出全面开展绩效自评，其中一级项目0个，二级项目6个，共涉及资金69.72万元，占一般公共预算项目支出总额的100%；政府性基金预算项目0个，其中，一级项目0 个，二级项目0个，共涉及资金0万元，占应纳入绩效自评的政府性基金预算项目支出总额的0%。</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组织对“科学技术普及”等6个项目开展了单位评价，涉及一般公共预算支出69.72万元，政府性基金支出0万元。其中，对0个项目分别委托相关第三方机构开展绩效评价。</w:t>
      </w:r>
    </w:p>
    <w:p>
      <w:pPr>
        <w:keepNext w:val="0"/>
        <w:keepLines w:val="0"/>
        <w:pageBreakBefore w:val="0"/>
        <w:widowControl/>
        <w:kinsoku/>
        <w:wordWrap/>
        <w:overflowPunct/>
        <w:topLinePunct w:val="0"/>
        <w:autoSpaceDE/>
        <w:autoSpaceDN/>
        <w:bidi w:val="0"/>
        <w:adjustRightInd/>
        <w:snapToGrid/>
        <w:spacing w:before="240" w:after="240" w:line="240" w:lineRule="auto"/>
        <w:ind w:firstLine="540" w:firstLineChars="20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（二）单位决算中项目绩效自评结果。</w:t>
      </w:r>
    </w:p>
    <w:p>
      <w:pPr>
        <w:keepNext w:val="0"/>
        <w:keepLines w:val="0"/>
        <w:pageBreakBefore w:val="0"/>
        <w:widowControl/>
        <w:kinsoku/>
        <w:wordWrap/>
        <w:overflowPunct/>
        <w:topLinePunct w:val="0"/>
        <w:autoSpaceDE/>
        <w:autoSpaceDN/>
        <w:bidi w:val="0"/>
        <w:adjustRightInd/>
        <w:snapToGrid/>
        <w:spacing w:before="240" w:after="240" w:line="240" w:lineRule="auto"/>
        <w:ind w:firstLine="540" w:firstLineChars="200"/>
        <w:rPr>
          <w:rFonts w:hint="eastAsia" w:ascii="仿宋" w:hAnsi="仿宋" w:eastAsia="仿宋" w:cs="仿宋"/>
          <w:kern w:val="0"/>
          <w:sz w:val="32"/>
          <w:szCs w:val="32"/>
          <w:lang w:val="en-US" w:eastAsia="zh-CN"/>
        </w:rPr>
      </w:pPr>
      <w:r>
        <w:rPr>
          <w:rFonts w:ascii="fang_song_gb2312" w:hAnsi="fang_song_gb2312" w:eastAsia="fang_song_gb2312" w:cs="fang_song_gb2312"/>
          <w:kern w:val="0"/>
          <w:sz w:val="27"/>
          <w:szCs w:val="27"/>
        </w:rPr>
        <w:t>   </w:t>
      </w:r>
      <w:r>
        <w:rPr>
          <w:rFonts w:hint="eastAsia" w:ascii="仿宋" w:hAnsi="仿宋" w:eastAsia="仿宋" w:cs="仿宋"/>
          <w:kern w:val="0"/>
          <w:sz w:val="32"/>
          <w:szCs w:val="32"/>
          <w:lang w:val="en-US" w:eastAsia="zh-CN"/>
        </w:rPr>
        <w:t xml:space="preserve"> 锡林郭勒盟科学技术协会（本级） 2023年度在决算中反映6个一般公共预算项目，以及0个政府性基金项目， 共6个项目的绩效自评结果。</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1.基层科普行动项目（21结转）自评综述：根据年初设定的绩效目标，项目自评得分10分。全年预算数为9.84万元，执行数为9.84万元，完成预算的100%。项目绩效目标完成情况：该款用于基层科普行动计划项目列支。由于工作需要，上年调剂部门经济分类后按照调剂后的金额下达，该款财政年底收回。发现的主要问题及原因：无。下一步改进措施：无。</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2.科学技术普及项目（21结转）自评综述：根据年初设定的绩效目标，项目自评得分100分。全年预算数为4.61万元，执行数为4.61万元，完成预算的100%。项目绩效目标完成情况：支付2022年锡盟公民素质竞赛费用、支付科技活动周进校园、进社区条幅、科普展板等费用、支付2022年流动科技馆展品运输费用。发现的主要问题及原因：无。下一步改进措施：无。</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3. 2021年“基层科普行动计划”项目资金预算（21结转）自评综述：根据年初设定的绩效目标，项目自评得分99.2分。全年预算数为20.35万元，执行数为20.35万元，完成预算的100%。项目绩效目标完成情况：支付流动科技馆费用、支付科普文件及项目书等费用、支付科普调研差旅费、支付2022年购买科普图书费用、支付2022年百名专家进盟市科普专家进盟市旗县科普传播行专家住宿费、支付科普活动所需邮电费、支付印刷科普图册费用。发现的主要问题及原因：无。下一步改进措施：无。</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4.科普大篷车更新经费（21结转）自评综述：根据年初设定的绩效目标，项目自评得分0分。全年预算数为12.6万元，执行数为0万元，完成预算的0%。项目绩效目标完成情况：由于本单位本年度未申请到科普大篷车，该款将在年末财政收回。发现的主要问题及原因：无。下一步改进措施：无。</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5.科学技术普及自评综述：根据年初设定的绩效目标，项目自评得分99分。全年预算数为18万元，执行数为18万元，完成预算的100%。项目绩效目标完成情况：支付参加自治区第三十七届青少年科技创新大赛差旅费、支付科技工作者日、2023年锡林郭勒盟公民科学素质竞赛、2023年全盟科技卫生三下乡集中示范活动、2023年第三届锡林郭勒盟青少年机器人竞赛聘请专家讲课费、科协七届四次常委会、七届六次全委会、第八次代表大会会议费用、支付第39届青少年科技创新大赛证书制作及节约用水及食品安全活动条幅制作等费用、支付智慧农业推广普及、机器人学会开展学术交流等费用共计8万元。发现的主要问题及原因：无。下一步改进措施：无。</w:t>
      </w:r>
    </w:p>
    <w:p>
      <w:pPr>
        <w:pStyle w:val="2"/>
        <w:ind w:left="0" w:leftChars="0" w:firstLine="0" w:firstLineChars="0"/>
        <w:rPr>
          <w:rFonts w:hint="eastAsia"/>
          <w:lang w:eastAsia="zh-CN"/>
        </w:rPr>
      </w:pPr>
      <w:r>
        <w:rPr>
          <w:rFonts w:hint="eastAsia"/>
          <w:lang w:eastAsia="zh-CN"/>
        </w:rPr>
        <w:drawing>
          <wp:inline distT="0" distB="0" distL="114300" distR="114300">
            <wp:extent cx="6182995" cy="8743950"/>
            <wp:effectExtent l="0" t="0" r="8255" b="0"/>
            <wp:docPr id="2" name="图片 2" descr="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表"/>
                    <pic:cNvPicPr>
                      <a:picLocks noChangeAspect="1"/>
                    </pic:cNvPicPr>
                  </pic:nvPicPr>
                  <pic:blipFill>
                    <a:blip r:embed="rId8"/>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87130"/>
            <wp:effectExtent l="0" t="0" r="8255" b="13970"/>
            <wp:docPr id="3" name="图片 3" descr="表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表_page_1"/>
                    <pic:cNvPicPr>
                      <a:picLocks noChangeAspect="1"/>
                    </pic:cNvPicPr>
                  </pic:nvPicPr>
                  <pic:blipFill>
                    <a:blip r:embed="rId9"/>
                    <a:stretch>
                      <a:fillRect/>
                    </a:stretch>
                  </pic:blipFill>
                  <pic:spPr>
                    <a:xfrm>
                      <a:off x="0" y="0"/>
                      <a:ext cx="6182995" cy="8787130"/>
                    </a:xfrm>
                    <a:prstGeom prst="rect">
                      <a:avLst/>
                    </a:prstGeom>
                  </pic:spPr>
                </pic:pic>
              </a:graphicData>
            </a:graphic>
          </wp:inline>
        </w:drawing>
      </w:r>
      <w:r>
        <w:rPr>
          <w:rFonts w:hint="eastAsia"/>
          <w:lang w:eastAsia="zh-CN"/>
        </w:rPr>
        <w:drawing>
          <wp:inline distT="0" distB="0" distL="114300" distR="114300">
            <wp:extent cx="6182995" cy="8743950"/>
            <wp:effectExtent l="0" t="0" r="8255" b="0"/>
            <wp:docPr id="5" name="图片 5" descr="表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表_page_1"/>
                    <pic:cNvPicPr>
                      <a:picLocks noChangeAspect="1"/>
                    </pic:cNvPicPr>
                  </pic:nvPicPr>
                  <pic:blipFill>
                    <a:blip r:embed="rId10"/>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8255" b="0"/>
            <wp:docPr id="6" name="图片 6" descr="表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表_page_1"/>
                    <pic:cNvPicPr>
                      <a:picLocks noChangeAspect="1"/>
                    </pic:cNvPicPr>
                  </pic:nvPicPr>
                  <pic:blipFill>
                    <a:blip r:embed="rId11"/>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8255" b="0"/>
            <wp:docPr id="7" name="图片 7" descr="表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表_page_1"/>
                    <pic:cNvPicPr>
                      <a:picLocks noChangeAspect="1"/>
                    </pic:cNvPicPr>
                  </pic:nvPicPr>
                  <pic:blipFill>
                    <a:blip r:embed="rId12"/>
                    <a:stretch>
                      <a:fillRect/>
                    </a:stretch>
                  </pic:blipFill>
                  <pic:spPr>
                    <a:xfrm>
                      <a:off x="0" y="0"/>
                      <a:ext cx="6182995" cy="87439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240" w:after="240" w:line="240" w:lineRule="auto"/>
        <w:ind w:firstLine="540" w:firstLineChars="20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（三）单位项目绩效评价结果。</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jc w:val="both"/>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以科学技术普及项目为例，该项目绩效评价综合得分为99分，绩效评价结果为“优”。</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center"/>
        <w:rPr>
          <w:rFonts w:hint="eastAsia" w:ascii="黑体" w:hAnsi="黑体" w:eastAsia="黑体" w:cs="黑体"/>
          <w:b/>
          <w:bCs/>
          <w:color w:val="000000"/>
          <w:kern w:val="0"/>
          <w:sz w:val="32"/>
          <w:szCs w:val="32"/>
          <w:lang w:val="en-US" w:eastAsia="zh-CN" w:bidi="ar-SA"/>
        </w:rPr>
      </w:pPr>
      <w:r>
        <w:rPr>
          <w:rFonts w:hint="eastAsia" w:ascii="黑体" w:hAnsi="黑体" w:eastAsia="黑体" w:cs="黑体"/>
          <w:b/>
          <w:bCs/>
          <w:color w:val="000000"/>
          <w:kern w:val="0"/>
          <w:sz w:val="32"/>
          <w:szCs w:val="32"/>
          <w:lang w:val="en-US" w:eastAsia="zh-CN" w:bidi="ar-SA"/>
        </w:rPr>
        <w:drawing>
          <wp:inline distT="0" distB="0" distL="114300" distR="114300">
            <wp:extent cx="5149215" cy="7282815"/>
            <wp:effectExtent l="0" t="0" r="13335" b="13335"/>
            <wp:docPr id="13" name="图片 13" descr="报告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报告_page_1"/>
                    <pic:cNvPicPr>
                      <a:picLocks noChangeAspect="1"/>
                    </pic:cNvPicPr>
                  </pic:nvPicPr>
                  <pic:blipFill>
                    <a:blip r:embed="rId13"/>
                    <a:stretch>
                      <a:fillRect/>
                    </a:stretch>
                  </pic:blipFill>
                  <pic:spPr>
                    <a:xfrm>
                      <a:off x="0" y="0"/>
                      <a:ext cx="5149215" cy="7282815"/>
                    </a:xfrm>
                    <a:prstGeom prst="rect">
                      <a:avLst/>
                    </a:prstGeom>
                  </pic:spPr>
                </pic:pic>
              </a:graphicData>
            </a:graphic>
          </wp:inline>
        </w:drawing>
      </w:r>
      <w:r>
        <w:rPr>
          <w:rFonts w:hint="eastAsia" w:ascii="黑体" w:hAnsi="黑体" w:eastAsia="黑体" w:cs="黑体"/>
          <w:b/>
          <w:bCs/>
          <w:color w:val="000000"/>
          <w:kern w:val="0"/>
          <w:sz w:val="32"/>
          <w:szCs w:val="32"/>
          <w:lang w:val="en-US" w:eastAsia="zh-CN" w:bidi="ar-SA"/>
        </w:rPr>
        <w:drawing>
          <wp:inline distT="0" distB="0" distL="114300" distR="114300">
            <wp:extent cx="6182995" cy="8743950"/>
            <wp:effectExtent l="0" t="0" r="8255" b="0"/>
            <wp:docPr id="12" name="图片 12" descr="报告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报告_page_2"/>
                    <pic:cNvPicPr>
                      <a:picLocks noChangeAspect="1"/>
                    </pic:cNvPicPr>
                  </pic:nvPicPr>
                  <pic:blipFill>
                    <a:blip r:embed="rId14"/>
                    <a:stretch>
                      <a:fillRect/>
                    </a:stretch>
                  </pic:blipFill>
                  <pic:spPr>
                    <a:xfrm>
                      <a:off x="0" y="0"/>
                      <a:ext cx="6182995" cy="8743950"/>
                    </a:xfrm>
                    <a:prstGeom prst="rect">
                      <a:avLst/>
                    </a:prstGeom>
                  </pic:spPr>
                </pic:pic>
              </a:graphicData>
            </a:graphic>
          </wp:inline>
        </w:drawing>
      </w:r>
      <w:r>
        <w:rPr>
          <w:rFonts w:hint="eastAsia" w:ascii="黑体" w:hAnsi="黑体" w:eastAsia="黑体" w:cs="黑体"/>
          <w:b/>
          <w:bCs/>
          <w:color w:val="000000"/>
          <w:kern w:val="0"/>
          <w:sz w:val="32"/>
          <w:szCs w:val="32"/>
          <w:lang w:val="en-US" w:eastAsia="zh-CN" w:bidi="ar-SA"/>
        </w:rPr>
        <w:drawing>
          <wp:inline distT="0" distB="0" distL="114300" distR="114300">
            <wp:extent cx="6182995" cy="8743950"/>
            <wp:effectExtent l="0" t="0" r="8255" b="0"/>
            <wp:docPr id="11" name="图片 11" descr="报告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报告_page_3"/>
                    <pic:cNvPicPr>
                      <a:picLocks noChangeAspect="1"/>
                    </pic:cNvPicPr>
                  </pic:nvPicPr>
                  <pic:blipFill>
                    <a:blip r:embed="rId15"/>
                    <a:stretch>
                      <a:fillRect/>
                    </a:stretch>
                  </pic:blipFill>
                  <pic:spPr>
                    <a:xfrm>
                      <a:off x="0" y="0"/>
                      <a:ext cx="6182995" cy="8743950"/>
                    </a:xfrm>
                    <a:prstGeom prst="rect">
                      <a:avLst/>
                    </a:prstGeom>
                  </pic:spPr>
                </pic:pic>
              </a:graphicData>
            </a:graphic>
          </wp:inline>
        </w:drawing>
      </w:r>
      <w:r>
        <w:rPr>
          <w:rFonts w:hint="eastAsia" w:ascii="黑体" w:hAnsi="黑体" w:eastAsia="黑体" w:cs="黑体"/>
          <w:b/>
          <w:bCs/>
          <w:color w:val="000000"/>
          <w:kern w:val="0"/>
          <w:sz w:val="32"/>
          <w:szCs w:val="32"/>
          <w:lang w:val="en-US" w:eastAsia="zh-CN" w:bidi="ar-SA"/>
        </w:rPr>
        <w:drawing>
          <wp:inline distT="0" distB="0" distL="114300" distR="114300">
            <wp:extent cx="6182995" cy="8743950"/>
            <wp:effectExtent l="0" t="0" r="8255" b="0"/>
            <wp:docPr id="10" name="图片 10" descr="报告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报告_page_4"/>
                    <pic:cNvPicPr>
                      <a:picLocks noChangeAspect="1"/>
                    </pic:cNvPicPr>
                  </pic:nvPicPr>
                  <pic:blipFill>
                    <a:blip r:embed="rId16"/>
                    <a:stretch>
                      <a:fillRect/>
                    </a:stretch>
                  </pic:blipFill>
                  <pic:spPr>
                    <a:xfrm>
                      <a:off x="0" y="0"/>
                      <a:ext cx="6182995" cy="8743950"/>
                    </a:xfrm>
                    <a:prstGeom prst="rect">
                      <a:avLst/>
                    </a:prstGeom>
                  </pic:spPr>
                </pic:pic>
              </a:graphicData>
            </a:graphic>
          </wp:inline>
        </w:drawing>
      </w:r>
      <w:r>
        <w:rPr>
          <w:rFonts w:hint="eastAsia" w:ascii="黑体" w:hAnsi="黑体" w:eastAsia="黑体" w:cs="黑体"/>
          <w:b/>
          <w:bCs/>
          <w:color w:val="000000"/>
          <w:kern w:val="0"/>
          <w:sz w:val="32"/>
          <w:szCs w:val="32"/>
          <w:lang w:val="en-US" w:eastAsia="zh-CN" w:bidi="ar-SA"/>
        </w:rPr>
        <w:drawing>
          <wp:inline distT="0" distB="0" distL="114300" distR="114300">
            <wp:extent cx="6182995" cy="8743950"/>
            <wp:effectExtent l="0" t="0" r="8255" b="0"/>
            <wp:docPr id="9" name="图片 9" descr="报告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报告_page_5"/>
                    <pic:cNvPicPr>
                      <a:picLocks noChangeAspect="1"/>
                    </pic:cNvPicPr>
                  </pic:nvPicPr>
                  <pic:blipFill>
                    <a:blip r:embed="rId17"/>
                    <a:stretch>
                      <a:fillRect/>
                    </a:stretch>
                  </pic:blipFill>
                  <pic:spPr>
                    <a:xfrm>
                      <a:off x="0" y="0"/>
                      <a:ext cx="6182995" cy="8743950"/>
                    </a:xfrm>
                    <a:prstGeom prst="rect">
                      <a:avLst/>
                    </a:prstGeom>
                  </pic:spPr>
                </pic:pic>
              </a:graphicData>
            </a:graphic>
          </wp:inline>
        </w:drawing>
      </w:r>
      <w:r>
        <w:rPr>
          <w:rFonts w:hint="eastAsia" w:ascii="黑体" w:hAnsi="黑体" w:eastAsia="黑体" w:cs="黑体"/>
          <w:b/>
          <w:bCs/>
          <w:color w:val="000000"/>
          <w:kern w:val="0"/>
          <w:sz w:val="32"/>
          <w:szCs w:val="32"/>
          <w:lang w:val="en-US" w:eastAsia="zh-CN" w:bidi="ar-SA"/>
        </w:rPr>
        <w:drawing>
          <wp:inline distT="0" distB="0" distL="114300" distR="114300">
            <wp:extent cx="6182995" cy="8743950"/>
            <wp:effectExtent l="0" t="0" r="8255" b="0"/>
            <wp:docPr id="8" name="图片 8" descr="报告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报告_page_6"/>
                    <pic:cNvPicPr>
                      <a:picLocks noChangeAspect="1"/>
                    </pic:cNvPicPr>
                  </pic:nvPicPr>
                  <pic:blipFill>
                    <a:blip r:embed="rId18"/>
                    <a:stretch>
                      <a:fillRect/>
                    </a:stretch>
                  </pic:blipFill>
                  <pic:spPr>
                    <a:xfrm>
                      <a:off x="0" y="0"/>
                      <a:ext cx="6182995" cy="8743950"/>
                    </a:xfrm>
                    <a:prstGeom prst="rect">
                      <a:avLst/>
                    </a:prstGeom>
                  </pic:spPr>
                </pic:pic>
              </a:graphicData>
            </a:graphic>
          </wp:inline>
        </w:drawing>
      </w:r>
      <w:r>
        <w:rPr>
          <w:rFonts w:hint="eastAsia" w:ascii="黑体" w:hAnsi="黑体" w:eastAsia="黑体" w:cs="黑体"/>
          <w:b/>
          <w:bCs/>
          <w:color w:val="000000"/>
          <w:kern w:val="0"/>
          <w:sz w:val="32"/>
          <w:szCs w:val="32"/>
          <w:lang w:val="en-US" w:eastAsia="zh-CN" w:bidi="ar-SA"/>
        </w:rPr>
        <w:br w:type="page"/>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bCs/>
          <w:color w:val="000000"/>
          <w:kern w:val="0"/>
          <w:sz w:val="32"/>
          <w:szCs w:val="32"/>
        </w:rPr>
      </w:pPr>
      <w:r>
        <w:rPr>
          <w:rFonts w:hint="eastAsia" w:ascii="黑体" w:hAnsi="黑体" w:eastAsia="黑体" w:cs="黑体"/>
          <w:b/>
          <w:bCs/>
          <w:color w:val="000000"/>
          <w:kern w:val="0"/>
          <w:sz w:val="32"/>
          <w:szCs w:val="32"/>
          <w:lang w:val="en-US" w:eastAsia="zh-CN"/>
        </w:rPr>
        <w:t>第三部分  名词解释</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一、财政拨款收入：</w:t>
      </w:r>
      <w:r>
        <w:rPr>
          <w:rFonts w:hint="eastAsia" w:ascii="仿宋" w:hAnsi="仿宋" w:eastAsia="仿宋" w:cs="仿宋"/>
          <w:kern w:val="0"/>
          <w:sz w:val="32"/>
          <w:szCs w:val="32"/>
        </w:rPr>
        <w:t>从同级财政部门取得的各类财政拨款，包括一般公共预算财政拨款、政府性基金预算财政拨款、国有资本经营预算财政拨款。</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二、上级补助收入：</w:t>
      </w:r>
      <w:r>
        <w:rPr>
          <w:rFonts w:hint="eastAsia" w:ascii="仿宋" w:hAnsi="仿宋" w:eastAsia="仿宋" w:cs="仿宋"/>
          <w:kern w:val="0"/>
          <w:sz w:val="32"/>
          <w:szCs w:val="32"/>
        </w:rPr>
        <w:t>指事业单位从主管部门和上级单位取得的非财政补助收入。</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三、财政专户管理教育收费：</w:t>
      </w:r>
      <w:r>
        <w:rPr>
          <w:rFonts w:hint="eastAsia" w:ascii="仿宋" w:hAnsi="仿宋" w:eastAsia="仿宋" w:cs="仿宋"/>
          <w:kern w:val="0"/>
          <w:sz w:val="32"/>
          <w:szCs w:val="32"/>
        </w:rPr>
        <w:t>指缴入财政专户、实行专项管理的高中以上学费、住宿费、高校委托培养费、函大、电大、夜大及短训班培训费等教育收费。</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四、事业收入：</w:t>
      </w:r>
      <w:r>
        <w:rPr>
          <w:rFonts w:hint="eastAsia" w:ascii="仿宋" w:hAnsi="仿宋" w:eastAsia="仿宋" w:cs="仿宋"/>
          <w:kern w:val="0"/>
          <w:sz w:val="32"/>
          <w:szCs w:val="32"/>
        </w:rPr>
        <w:t>指事业单位开展专业业务活动及其辅助活动取得的收入。</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五、经营收入：</w:t>
      </w:r>
      <w:r>
        <w:rPr>
          <w:rFonts w:hint="eastAsia" w:ascii="仿宋" w:hAnsi="仿宋" w:eastAsia="仿宋" w:cs="仿宋"/>
          <w:kern w:val="0"/>
          <w:sz w:val="32"/>
          <w:szCs w:val="32"/>
        </w:rPr>
        <w:t>指事业单位在专业业务活动及其辅助活动之外开展非独立核算经营活动取得的收入。</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六、附属单位上缴收入：</w:t>
      </w:r>
      <w:r>
        <w:rPr>
          <w:rFonts w:hint="eastAsia" w:ascii="仿宋" w:hAnsi="仿宋" w:eastAsia="仿宋" w:cs="仿宋"/>
          <w:kern w:val="0"/>
          <w:sz w:val="32"/>
          <w:szCs w:val="32"/>
        </w:rPr>
        <w:t>指事业单位取得附属独立核算单位按照有关规定上缴的收入。</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七、其他收入：</w:t>
      </w:r>
      <w:r>
        <w:rPr>
          <w:rFonts w:hint="eastAsia" w:ascii="仿宋" w:hAnsi="仿宋" w:eastAsia="仿宋" w:cs="仿宋"/>
          <w:kern w:val="0"/>
          <w:sz w:val="32"/>
          <w:szCs w:val="32"/>
        </w:rPr>
        <w:t>取得的除上述“财政拨款收入”、“上级补助收入”、“事业收入”、“经营收入”、“附属单位上缴收入”等以外的各项收入。</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八、使用非财政拨款结余和专用结余：</w:t>
      </w:r>
      <w:r>
        <w:rPr>
          <w:rFonts w:hint="eastAsia" w:ascii="仿宋" w:hAnsi="仿宋" w:eastAsia="仿宋" w:cs="仿宋"/>
          <w:kern w:val="0"/>
          <w:sz w:val="32"/>
          <w:szCs w:val="32"/>
        </w:rPr>
        <w:t>指事业单位按照预算管理要求使用非财政拨款结余和专用结余弥补当年收支差额的数额。</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九、年初结转和结余：</w:t>
      </w:r>
      <w:r>
        <w:rPr>
          <w:rFonts w:hint="eastAsia" w:ascii="仿宋" w:hAnsi="仿宋" w:eastAsia="仿宋" w:cs="仿宋"/>
          <w:kern w:val="0"/>
          <w:sz w:val="32"/>
          <w:szCs w:val="32"/>
        </w:rPr>
        <w:t>指单位上年结转本年使用的基本支出结转、项目支出结转和结余、经营结余。</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十、结余分配：</w:t>
      </w:r>
      <w:r>
        <w:rPr>
          <w:rFonts w:hint="eastAsia" w:ascii="仿宋" w:hAnsi="仿宋" w:eastAsia="仿宋" w:cs="仿宋"/>
          <w:kern w:val="0"/>
          <w:sz w:val="32"/>
          <w:szCs w:val="32"/>
        </w:rPr>
        <w:t>指事业单位按规定缴纳企业所得税以及从非财政拨款结余或经营结余中提取各类结余的情况。</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十一、年末结转和结余资金：</w:t>
      </w:r>
      <w:r>
        <w:rPr>
          <w:rFonts w:hint="eastAsia" w:ascii="仿宋" w:hAnsi="仿宋" w:eastAsia="仿宋" w:cs="仿宋"/>
          <w:kern w:val="0"/>
          <w:sz w:val="32"/>
          <w:szCs w:val="32"/>
        </w:rPr>
        <w:t>指单位结转下年的基本支出结转、项目支出结转和结余、经营结余。</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十二、基本支出：</w:t>
      </w:r>
      <w:r>
        <w:rPr>
          <w:rFonts w:hint="eastAsia" w:ascii="仿宋" w:hAnsi="仿宋" w:eastAsia="仿宋" w:cs="仿宋"/>
          <w:kern w:val="0"/>
          <w:sz w:val="32"/>
          <w:szCs w:val="32"/>
        </w:rPr>
        <w:t>指为保障机构正常运转、完成日常工作任务所发生的支出，包括人员经费和公用经费。</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十三、项目支出：</w:t>
      </w:r>
      <w:r>
        <w:rPr>
          <w:rFonts w:hint="eastAsia" w:ascii="仿宋" w:hAnsi="仿宋" w:eastAsia="仿宋" w:cs="仿宋"/>
          <w:kern w:val="0"/>
          <w:sz w:val="32"/>
          <w:szCs w:val="32"/>
        </w:rPr>
        <w:t>指在为完成特定的工作任务和事业发展目标所发生的支出。</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十四、上缴上级支出：</w:t>
      </w:r>
      <w:r>
        <w:rPr>
          <w:rFonts w:hint="eastAsia" w:ascii="仿宋" w:hAnsi="仿宋" w:eastAsia="仿宋" w:cs="仿宋"/>
          <w:kern w:val="0"/>
          <w:sz w:val="32"/>
          <w:szCs w:val="32"/>
        </w:rPr>
        <w:t>指事业单位按照财政部门和主管部门的规定上缴上级单位的支出。</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十五、经营支出：</w:t>
      </w:r>
      <w:r>
        <w:rPr>
          <w:rFonts w:hint="eastAsia" w:ascii="仿宋" w:hAnsi="仿宋" w:eastAsia="仿宋" w:cs="仿宋"/>
          <w:kern w:val="0"/>
          <w:sz w:val="32"/>
          <w:szCs w:val="32"/>
        </w:rPr>
        <w:t>指事业单位在专业业务活动及其辅助活动之外开展非独立核算经营活动发生的支出。</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十六、对附属单位补助支出：</w:t>
      </w:r>
      <w:r>
        <w:rPr>
          <w:rFonts w:hint="eastAsia" w:ascii="仿宋" w:hAnsi="仿宋" w:eastAsia="仿宋" w:cs="仿宋"/>
          <w:kern w:val="0"/>
          <w:sz w:val="32"/>
          <w:szCs w:val="32"/>
        </w:rPr>
        <w:t>指事业单位用财政拨款收入之外的收入对附属单位补助发生的支出。</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kern w:val="0"/>
          <w:sz w:val="32"/>
          <w:szCs w:val="32"/>
        </w:rPr>
        <w:t>十七、“三公”经费：</w:t>
      </w:r>
      <w:r>
        <w:rPr>
          <w:rFonts w:hint="eastAsia" w:ascii="仿宋" w:hAnsi="仿宋" w:eastAsia="仿宋" w:cs="仿宋"/>
          <w:kern w:val="0"/>
          <w:sz w:val="32"/>
          <w:szCs w:val="32"/>
        </w:rPr>
        <w:t>指部门（单位）用财政拨款安排的因公出国（境）费、公务用车购置及运行维护费和公务接待费。其中，因公出国（境）费反映部门（单位）)公务出国（境）的国际旅费、国外城市间交通费、住宿费、伙食费、培训费、公杂费等支出；公务用车购置及运行维护费反映部门（单位）公务用车购置支出（含车辆购置税、牌照费）以及按规定保留的公务用车燃料费、维修费、过路过桥费、保险费、安全奖励费用等支出；公务接待费反映部门（单位）按规定开支的各类公务接待（含外宾接待）费用。</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ascii="Times New Roman" w:hAnsi="Times New Roman" w:eastAsia="Times New Roman" w:cs="Times New Roman"/>
          <w:kern w:val="0"/>
          <w:sz w:val="24"/>
        </w:rPr>
      </w:pPr>
      <w:r>
        <w:rPr>
          <w:rFonts w:hint="eastAsia" w:ascii="仿宋" w:hAnsi="仿宋" w:eastAsia="仿宋" w:cs="仿宋"/>
          <w:b/>
          <w:bCs/>
          <w:kern w:val="0"/>
          <w:sz w:val="32"/>
          <w:szCs w:val="32"/>
        </w:rPr>
        <w:t>十八、机构运行经费：</w:t>
      </w:r>
      <w:r>
        <w:rPr>
          <w:rFonts w:hint="eastAsia" w:ascii="仿宋" w:hAnsi="仿宋" w:eastAsia="仿宋" w:cs="仿宋"/>
          <w:kern w:val="0"/>
          <w:sz w:val="32"/>
          <w:szCs w:val="32"/>
        </w:rPr>
        <w:t>指部门（单位）使用一般公共预算安排的基本支出中的日常公用经费支出，包括办公及印刷费、邮电费、差旅费、会议费、福利费、日常维修费、专用材料及一般设备购置费、办公用房水电费、办公用房取暖费、办公用房物业管理费、公务用车运行维护费及其他费用等。</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bCs/>
          <w:color w:val="000000"/>
          <w:kern w:val="0"/>
          <w:sz w:val="32"/>
          <w:szCs w:val="32"/>
          <w:lang w:val="en-US" w:eastAsia="zh-CN" w:bidi="ar-SA"/>
        </w:rPr>
      </w:pPr>
      <w:r>
        <w:rPr>
          <w:rFonts w:hint="eastAsia" w:ascii="黑体" w:hAnsi="黑体" w:eastAsia="黑体" w:cs="黑体"/>
          <w:b/>
          <w:bCs/>
          <w:color w:val="000000"/>
          <w:kern w:val="0"/>
          <w:sz w:val="32"/>
          <w:szCs w:val="32"/>
          <w:lang w:val="en-US" w:eastAsia="zh-CN" w:bidi="ar-SA"/>
        </w:rPr>
        <w:t>第四部分 决算公开联系方式及信息反馈渠道</w:t>
      </w:r>
    </w:p>
    <w:p>
      <w:pPr>
        <w:keepNext w:val="0"/>
        <w:keepLines w:val="0"/>
        <w:pageBreakBefore w:val="0"/>
        <w:widowControl/>
        <w:kinsoku/>
        <w:wordWrap/>
        <w:overflowPunct/>
        <w:topLinePunct w:val="0"/>
        <w:autoSpaceDE/>
        <w:autoSpaceDN/>
        <w:bidi w:val="0"/>
        <w:adjustRightInd/>
        <w:snapToGrid/>
        <w:spacing w:before="240" w:after="240" w:line="240" w:lineRule="auto"/>
        <w:ind w:firstLine="480" w:firstLineChars="200"/>
        <w:jc w:val="left"/>
        <w:rPr>
          <w:rFonts w:ascii="Times New Roman" w:hAnsi="Times New Roman" w:eastAsia="Times New Roman" w:cs="Times New Roman"/>
          <w:kern w:val="0"/>
          <w:sz w:val="24"/>
        </w:rPr>
      </w:pP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本单位决算公开信息反馈和联系方式：</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联系人：黄红琴           联系电话：0479-8239538-</w:t>
      </w:r>
    </w:p>
    <w:p>
      <w:pPr>
        <w:widowControl/>
        <w:spacing w:before="240" w:after="240"/>
        <w:jc w:val="left"/>
        <w:rPr>
          <w:rFonts w:ascii="Times New Roman" w:hAnsi="Times New Roman" w:eastAsia="Times New Roman" w:cs="Times New Roman"/>
          <w:kern w:val="0"/>
          <w:sz w:val="24"/>
        </w:rPr>
      </w:pPr>
    </w:p>
    <w:bookmarkEnd w:id="0"/>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ascii="宋体" w:hAnsi="宋体"/>
          <w:b/>
          <w:sz w:val="32"/>
          <w:szCs w:val="32"/>
        </w:rPr>
        <w:sectPr>
          <w:footerReference r:id="rId4" w:type="default"/>
          <w:pgSz w:w="11906" w:h="16838"/>
          <w:pgMar w:top="1440" w:right="1083" w:bottom="1440" w:left="1083" w:header="0" w:footer="720" w:gutter="0"/>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kern w:val="0"/>
          <w:sz w:val="24"/>
        </w:rPr>
      </w:pPr>
      <w:r>
        <w:rPr>
          <w:rFonts w:hint="eastAsia" w:ascii="黑体" w:hAnsi="黑体" w:eastAsia="黑体" w:cs="黑体"/>
          <w:b/>
          <w:bCs/>
          <w:color w:val="000000"/>
          <w:kern w:val="0"/>
          <w:sz w:val="32"/>
          <w:szCs w:val="32"/>
          <w:lang w:val="en-US" w:eastAsia="zh-CN" w:bidi="ar-SA"/>
        </w:rPr>
        <w:t>第五部分 单位决算表</w:t>
      </w: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089"/>
        <w:gridCol w:w="628"/>
        <w:gridCol w:w="3104"/>
        <w:gridCol w:w="3145"/>
        <w:gridCol w:w="864"/>
        <w:gridCol w:w="31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6"/>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3717" w:type="dxa"/>
            <w:gridSpan w:val="2"/>
            <w:shd w:val="clear" w:color="auto" w:fill="auto"/>
            <w:vAlign w:val="center"/>
          </w:tcPr>
          <w:p>
            <w:pPr>
              <w:rPr>
                <w:rFonts w:hint="eastAsia" w:ascii="宋体" w:hAnsi="宋体" w:eastAsia="宋体" w:cs="宋体"/>
                <w:i w:val="0"/>
                <w:color w:val="000000"/>
                <w:sz w:val="22"/>
                <w:szCs w:val="22"/>
                <w:u w:val="none"/>
              </w:rPr>
            </w:pPr>
          </w:p>
        </w:tc>
        <w:tc>
          <w:tcPr>
            <w:tcW w:w="3104" w:type="dxa"/>
            <w:shd w:val="clear" w:color="auto" w:fill="auto"/>
            <w:vAlign w:val="center"/>
          </w:tcPr>
          <w:p>
            <w:pPr>
              <w:rPr>
                <w:rFonts w:hint="eastAsia" w:ascii="宋体" w:hAnsi="宋体" w:eastAsia="宋体" w:cs="宋体"/>
                <w:i w:val="0"/>
                <w:color w:val="000000"/>
                <w:sz w:val="22"/>
                <w:szCs w:val="22"/>
                <w:u w:val="none"/>
              </w:rPr>
            </w:pPr>
          </w:p>
        </w:tc>
        <w:tc>
          <w:tcPr>
            <w:tcW w:w="3145" w:type="dxa"/>
            <w:shd w:val="clear" w:color="auto" w:fill="auto"/>
            <w:vAlign w:val="center"/>
          </w:tcPr>
          <w:p>
            <w:pPr>
              <w:rPr>
                <w:rFonts w:hint="eastAsia" w:ascii="宋体" w:hAnsi="宋体" w:eastAsia="宋体" w:cs="宋体"/>
                <w:i w:val="0"/>
                <w:color w:val="000000"/>
                <w:sz w:val="22"/>
                <w:szCs w:val="22"/>
                <w:u w:val="none"/>
              </w:rPr>
            </w:pPr>
          </w:p>
        </w:tc>
        <w:tc>
          <w:tcPr>
            <w:tcW w:w="864" w:type="dxa"/>
            <w:shd w:val="clear" w:color="auto" w:fill="auto"/>
            <w:vAlign w:val="center"/>
          </w:tcPr>
          <w:p>
            <w:pPr>
              <w:rPr>
                <w:rFonts w:hint="eastAsia" w:ascii="宋体" w:hAnsi="宋体" w:eastAsia="宋体" w:cs="宋体"/>
                <w:i w:val="0"/>
                <w:color w:val="000000"/>
                <w:sz w:val="22"/>
                <w:szCs w:val="22"/>
                <w:u w:val="none"/>
              </w:rPr>
            </w:pPr>
          </w:p>
        </w:tc>
        <w:tc>
          <w:tcPr>
            <w:tcW w:w="315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6821" w:type="dxa"/>
            <w:gridSpan w:val="3"/>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编制单位：锡林郭勒盟科学技术协会（本级）</w:t>
            </w:r>
          </w:p>
        </w:tc>
        <w:tc>
          <w:tcPr>
            <w:tcW w:w="3145"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864" w:type="dxa"/>
            <w:shd w:val="clear" w:color="auto" w:fill="auto"/>
            <w:vAlign w:val="center"/>
          </w:tcPr>
          <w:p>
            <w:pPr>
              <w:rPr>
                <w:rFonts w:hint="eastAsia" w:ascii="宋体" w:hAnsi="宋体" w:eastAsia="宋体" w:cs="宋体"/>
                <w:i w:val="0"/>
                <w:color w:val="000000"/>
                <w:sz w:val="22"/>
                <w:szCs w:val="22"/>
                <w:u w:val="none"/>
              </w:rPr>
            </w:pPr>
          </w:p>
        </w:tc>
        <w:tc>
          <w:tcPr>
            <w:tcW w:w="315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68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收入</w:t>
            </w:r>
          </w:p>
        </w:tc>
        <w:tc>
          <w:tcPr>
            <w:tcW w:w="7167" w:type="dxa"/>
            <w:gridSpan w:val="3"/>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项目</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行次</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项目</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行次</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62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86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一、一般公共预算财政拨款收入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399.53</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一、一般公共服务支出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32</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二、政府性基金预算财政拨款收入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二、外交支出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三、国有资本经营预算财政拨款收入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三、国防支出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34</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四、上级补助收入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四、公共安全支出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35</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五、事业收入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五、教育支出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六、经营收入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六、科学技术支出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37</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七、附属单位上缴收入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七、文化旅游体育与传媒支出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38</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八、其他收入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八、社会保障和就业支出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九、卫生健康支出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40</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十、节能环保支出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41</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十一、城乡社区支出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42</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12</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十二、农林水支出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十三、交通运输支出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44</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十四、资源勘探工业信息等支出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45</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十五、商业服务业等支出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16</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十六、金融支出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47</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十七、援助其他地区支出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十八、自然资源海洋气象等支出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49</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十九、住房保障支出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50</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二十、粮油物资储备支出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二十一、国有资本经营预算支出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52</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二十二、灾害防治及应急管理支出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二十三、其他支出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54</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二十四、债务还本支出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55</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25</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二十五、债务付息支出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56</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26</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二十六、抗疫特别国债安排的支出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57</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本年收入合计</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399.53</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本年支出合计</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58</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使用非财政拨款结余和专用结余</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28</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0.02</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结余分配</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59</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年初结转和结余</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年末结转和结余</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60</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61</w:t>
            </w:r>
          </w:p>
        </w:tc>
        <w:tc>
          <w:tcPr>
            <w:tcW w:w="315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总计</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399.55</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总计</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62</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3988" w:type="dxa"/>
            <w:gridSpan w:val="6"/>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注：1.本表反映部门本年度的总收支和年末结转结余情况。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3988" w:type="dxa"/>
            <w:gridSpan w:val="6"/>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2.本套报表金额单位转换时可能存在尾数误差。</w:t>
            </w:r>
          </w:p>
        </w:tc>
      </w:tr>
    </w:tbl>
    <w:p>
      <w:pPr>
        <w:pStyle w:val="2"/>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40"/>
        <w:gridCol w:w="34"/>
        <w:gridCol w:w="56"/>
        <w:gridCol w:w="3011"/>
        <w:gridCol w:w="1352"/>
        <w:gridCol w:w="838"/>
        <w:gridCol w:w="838"/>
        <w:gridCol w:w="837"/>
        <w:gridCol w:w="834"/>
        <w:gridCol w:w="833"/>
        <w:gridCol w:w="834"/>
        <w:gridCol w:w="835"/>
        <w:gridCol w:w="833"/>
        <w:gridCol w:w="833"/>
        <w:gridCol w:w="7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13988" w:type="dxa"/>
            <w:gridSpan w:val="15"/>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1240" w:type="dxa"/>
            <w:shd w:val="clear" w:color="auto" w:fill="auto"/>
            <w:vAlign w:val="center"/>
          </w:tcPr>
          <w:p>
            <w:pPr>
              <w:rPr>
                <w:rFonts w:hint="eastAsia" w:ascii="宋体" w:hAnsi="宋体" w:eastAsia="宋体" w:cs="宋体"/>
                <w:i w:val="0"/>
                <w:color w:val="000000"/>
                <w:sz w:val="22"/>
                <w:szCs w:val="22"/>
                <w:u w:val="none"/>
              </w:rPr>
            </w:pPr>
          </w:p>
        </w:tc>
        <w:tc>
          <w:tcPr>
            <w:tcW w:w="90" w:type="dxa"/>
            <w:gridSpan w:val="2"/>
            <w:shd w:val="clear" w:color="auto" w:fill="auto"/>
            <w:vAlign w:val="center"/>
          </w:tcPr>
          <w:p>
            <w:pPr>
              <w:rPr>
                <w:rFonts w:hint="eastAsia" w:ascii="宋体" w:hAnsi="宋体" w:eastAsia="宋体" w:cs="宋体"/>
                <w:i w:val="0"/>
                <w:color w:val="000000"/>
                <w:sz w:val="22"/>
                <w:szCs w:val="22"/>
                <w:u w:val="none"/>
              </w:rPr>
            </w:pPr>
          </w:p>
        </w:tc>
        <w:tc>
          <w:tcPr>
            <w:tcW w:w="3011" w:type="dxa"/>
            <w:shd w:val="clear" w:color="auto" w:fill="auto"/>
            <w:vAlign w:val="center"/>
          </w:tcPr>
          <w:p>
            <w:pPr>
              <w:rPr>
                <w:rFonts w:hint="eastAsia" w:ascii="宋体" w:hAnsi="宋体" w:eastAsia="宋体" w:cs="宋体"/>
                <w:i w:val="0"/>
                <w:color w:val="000000"/>
                <w:sz w:val="22"/>
                <w:szCs w:val="22"/>
                <w:u w:val="none"/>
              </w:rPr>
            </w:pPr>
          </w:p>
        </w:tc>
        <w:tc>
          <w:tcPr>
            <w:tcW w:w="1352" w:type="dxa"/>
            <w:shd w:val="clear" w:color="auto" w:fill="auto"/>
            <w:vAlign w:val="center"/>
          </w:tcPr>
          <w:p>
            <w:pPr>
              <w:rPr>
                <w:rFonts w:hint="eastAsia" w:ascii="宋体" w:hAnsi="宋体" w:eastAsia="宋体" w:cs="宋体"/>
                <w:i w:val="0"/>
                <w:color w:val="000000"/>
                <w:sz w:val="22"/>
                <w:szCs w:val="22"/>
                <w:u w:val="none"/>
              </w:rPr>
            </w:pPr>
          </w:p>
        </w:tc>
        <w:tc>
          <w:tcPr>
            <w:tcW w:w="838" w:type="dxa"/>
            <w:shd w:val="clear" w:color="auto" w:fill="auto"/>
            <w:vAlign w:val="center"/>
          </w:tcPr>
          <w:p>
            <w:pPr>
              <w:rPr>
                <w:rFonts w:hint="eastAsia" w:ascii="宋体" w:hAnsi="宋体" w:eastAsia="宋体" w:cs="宋体"/>
                <w:i w:val="0"/>
                <w:color w:val="000000"/>
                <w:sz w:val="22"/>
                <w:szCs w:val="22"/>
                <w:u w:val="none"/>
              </w:rPr>
            </w:pPr>
          </w:p>
        </w:tc>
        <w:tc>
          <w:tcPr>
            <w:tcW w:w="838" w:type="dxa"/>
            <w:shd w:val="clear" w:color="auto" w:fill="auto"/>
            <w:vAlign w:val="center"/>
          </w:tcPr>
          <w:p>
            <w:pPr>
              <w:rPr>
                <w:rFonts w:hint="eastAsia" w:ascii="宋体" w:hAnsi="宋体" w:eastAsia="宋体" w:cs="宋体"/>
                <w:i w:val="0"/>
                <w:color w:val="000000"/>
                <w:sz w:val="22"/>
                <w:szCs w:val="22"/>
                <w:u w:val="none"/>
              </w:rPr>
            </w:pPr>
          </w:p>
        </w:tc>
        <w:tc>
          <w:tcPr>
            <w:tcW w:w="837" w:type="dxa"/>
            <w:shd w:val="clear" w:color="auto" w:fill="auto"/>
            <w:vAlign w:val="center"/>
          </w:tcPr>
          <w:p>
            <w:pPr>
              <w:rPr>
                <w:rFonts w:hint="eastAsia" w:ascii="宋体" w:hAnsi="宋体" w:eastAsia="宋体" w:cs="宋体"/>
                <w:i w:val="0"/>
                <w:color w:val="000000"/>
                <w:sz w:val="22"/>
                <w:szCs w:val="22"/>
                <w:u w:val="none"/>
              </w:rPr>
            </w:pPr>
          </w:p>
        </w:tc>
        <w:tc>
          <w:tcPr>
            <w:tcW w:w="834" w:type="dxa"/>
            <w:shd w:val="clear" w:color="auto" w:fill="auto"/>
            <w:vAlign w:val="center"/>
          </w:tcPr>
          <w:p>
            <w:pPr>
              <w:rPr>
                <w:rFonts w:hint="eastAsia" w:ascii="宋体" w:hAnsi="宋体" w:eastAsia="宋体" w:cs="宋体"/>
                <w:i w:val="0"/>
                <w:color w:val="000000"/>
                <w:sz w:val="22"/>
                <w:szCs w:val="22"/>
                <w:u w:val="none"/>
              </w:rPr>
            </w:pPr>
          </w:p>
        </w:tc>
        <w:tc>
          <w:tcPr>
            <w:tcW w:w="833" w:type="dxa"/>
            <w:shd w:val="clear" w:color="auto" w:fill="auto"/>
            <w:vAlign w:val="center"/>
          </w:tcPr>
          <w:p>
            <w:pPr>
              <w:rPr>
                <w:rFonts w:hint="eastAsia" w:ascii="宋体" w:hAnsi="宋体" w:eastAsia="宋体" w:cs="宋体"/>
                <w:i w:val="0"/>
                <w:color w:val="000000"/>
                <w:sz w:val="22"/>
                <w:szCs w:val="22"/>
                <w:u w:val="none"/>
              </w:rPr>
            </w:pPr>
          </w:p>
        </w:tc>
        <w:tc>
          <w:tcPr>
            <w:tcW w:w="834" w:type="dxa"/>
            <w:shd w:val="clear" w:color="auto" w:fill="auto"/>
            <w:vAlign w:val="center"/>
          </w:tcPr>
          <w:p>
            <w:pPr>
              <w:rPr>
                <w:rFonts w:hint="eastAsia" w:ascii="宋体" w:hAnsi="宋体" w:eastAsia="宋体" w:cs="宋体"/>
                <w:i w:val="0"/>
                <w:color w:val="000000"/>
                <w:sz w:val="22"/>
                <w:szCs w:val="22"/>
                <w:u w:val="none"/>
              </w:rPr>
            </w:pPr>
          </w:p>
        </w:tc>
        <w:tc>
          <w:tcPr>
            <w:tcW w:w="3281" w:type="dxa"/>
            <w:gridSpan w:val="4"/>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公开02表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5693" w:type="dxa"/>
            <w:gridSpan w:val="5"/>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编制单位：锡林郭勒盟科学技术协会（本级）</w:t>
            </w:r>
          </w:p>
        </w:tc>
        <w:tc>
          <w:tcPr>
            <w:tcW w:w="838" w:type="dxa"/>
            <w:shd w:val="clear" w:color="auto" w:fill="auto"/>
            <w:vAlign w:val="center"/>
          </w:tcPr>
          <w:p>
            <w:pPr>
              <w:rPr>
                <w:rFonts w:hint="eastAsia" w:ascii="宋体" w:hAnsi="宋体" w:eastAsia="宋体" w:cs="宋体"/>
                <w:i w:val="0"/>
                <w:color w:val="000000"/>
                <w:sz w:val="22"/>
                <w:szCs w:val="22"/>
                <w:u w:val="none"/>
              </w:rPr>
            </w:pPr>
          </w:p>
        </w:tc>
        <w:tc>
          <w:tcPr>
            <w:tcW w:w="1675" w:type="dxa"/>
            <w:gridSpan w:val="2"/>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834" w:type="dxa"/>
            <w:shd w:val="clear" w:color="auto" w:fill="auto"/>
            <w:vAlign w:val="center"/>
          </w:tcPr>
          <w:p>
            <w:pPr>
              <w:rPr>
                <w:rFonts w:hint="eastAsia" w:ascii="宋体" w:hAnsi="宋体" w:eastAsia="宋体" w:cs="宋体"/>
                <w:i w:val="0"/>
                <w:color w:val="000000"/>
                <w:sz w:val="22"/>
                <w:szCs w:val="22"/>
                <w:u w:val="none"/>
              </w:rPr>
            </w:pPr>
          </w:p>
        </w:tc>
        <w:tc>
          <w:tcPr>
            <w:tcW w:w="833" w:type="dxa"/>
            <w:shd w:val="clear" w:color="auto" w:fill="auto"/>
            <w:vAlign w:val="center"/>
          </w:tcPr>
          <w:p>
            <w:pPr>
              <w:rPr>
                <w:rFonts w:hint="eastAsia" w:ascii="宋体" w:hAnsi="宋体" w:eastAsia="宋体" w:cs="宋体"/>
                <w:i w:val="0"/>
                <w:color w:val="000000"/>
                <w:sz w:val="22"/>
                <w:szCs w:val="22"/>
                <w:u w:val="none"/>
              </w:rPr>
            </w:pPr>
          </w:p>
        </w:tc>
        <w:tc>
          <w:tcPr>
            <w:tcW w:w="834" w:type="dxa"/>
            <w:shd w:val="clear" w:color="auto" w:fill="auto"/>
            <w:vAlign w:val="center"/>
          </w:tcPr>
          <w:p>
            <w:pPr>
              <w:rPr>
                <w:rFonts w:hint="eastAsia" w:ascii="宋体" w:hAnsi="宋体" w:eastAsia="宋体" w:cs="宋体"/>
                <w:i w:val="0"/>
                <w:color w:val="000000"/>
                <w:sz w:val="22"/>
                <w:szCs w:val="22"/>
                <w:u w:val="none"/>
              </w:rPr>
            </w:pPr>
          </w:p>
        </w:tc>
        <w:tc>
          <w:tcPr>
            <w:tcW w:w="835" w:type="dxa"/>
            <w:shd w:val="clear" w:color="auto" w:fill="auto"/>
            <w:vAlign w:val="center"/>
          </w:tcPr>
          <w:p>
            <w:pPr>
              <w:rPr>
                <w:rFonts w:hint="eastAsia" w:ascii="宋体" w:hAnsi="宋体" w:eastAsia="宋体" w:cs="宋体"/>
                <w:i w:val="0"/>
                <w:color w:val="000000"/>
                <w:sz w:val="22"/>
                <w:szCs w:val="22"/>
                <w:u w:val="none"/>
              </w:rPr>
            </w:pPr>
          </w:p>
        </w:tc>
        <w:tc>
          <w:tcPr>
            <w:tcW w:w="2446" w:type="dxa"/>
            <w:gridSpan w:val="3"/>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434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1352"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本年收入合计</w:t>
            </w:r>
          </w:p>
        </w:tc>
        <w:tc>
          <w:tcPr>
            <w:tcW w:w="3347" w:type="dxa"/>
            <w:gridSpan w:val="4"/>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财政拨款收入</w:t>
            </w:r>
          </w:p>
        </w:tc>
        <w:tc>
          <w:tcPr>
            <w:tcW w:w="833"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上级补助收入</w:t>
            </w:r>
          </w:p>
        </w:tc>
        <w:tc>
          <w:tcPr>
            <w:tcW w:w="1669" w:type="dxa"/>
            <w:gridSpan w:val="2"/>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事业收入</w:t>
            </w:r>
          </w:p>
        </w:tc>
        <w:tc>
          <w:tcPr>
            <w:tcW w:w="833"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经营收入</w:t>
            </w:r>
          </w:p>
        </w:tc>
        <w:tc>
          <w:tcPr>
            <w:tcW w:w="833"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附属单位上缴收入</w:t>
            </w:r>
          </w:p>
        </w:tc>
        <w:tc>
          <w:tcPr>
            <w:tcW w:w="780"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支出功能分类科目代码</w:t>
            </w:r>
          </w:p>
        </w:tc>
        <w:tc>
          <w:tcPr>
            <w:tcW w:w="3067" w:type="dxa"/>
            <w:gridSpan w:val="2"/>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35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8"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小计</w:t>
            </w:r>
          </w:p>
        </w:tc>
        <w:tc>
          <w:tcPr>
            <w:tcW w:w="2509" w:type="dxa"/>
            <w:gridSpan w:val="3"/>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其中：</w:t>
            </w: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小计</w:t>
            </w:r>
          </w:p>
        </w:tc>
        <w:tc>
          <w:tcPr>
            <w:tcW w:w="835"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其中：教育收费</w:t>
            </w: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8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274"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067"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35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8"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8"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一般公共预算财政拨款</w:t>
            </w:r>
          </w:p>
        </w:tc>
        <w:tc>
          <w:tcPr>
            <w:tcW w:w="837"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政府性基金预算财政拨款</w:t>
            </w:r>
          </w:p>
        </w:tc>
        <w:tc>
          <w:tcPr>
            <w:tcW w:w="83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国有资本经营预算财政拨款</w:t>
            </w: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5"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8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74"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067"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35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8"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8"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5"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8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4341"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8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8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83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c>
          <w:tcPr>
            <w:tcW w:w="8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w:t>
            </w:r>
          </w:p>
        </w:tc>
        <w:tc>
          <w:tcPr>
            <w:tcW w:w="83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w:t>
            </w:r>
          </w:p>
        </w:tc>
        <w:tc>
          <w:tcPr>
            <w:tcW w:w="83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w:t>
            </w:r>
          </w:p>
        </w:tc>
        <w:tc>
          <w:tcPr>
            <w:tcW w:w="83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78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4341"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合计</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399.53</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399.53</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399.53</w:t>
            </w:r>
          </w:p>
        </w:tc>
        <w:tc>
          <w:tcPr>
            <w:tcW w:w="83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3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3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3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3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8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科学技术支出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303.89</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303.89</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303.89</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科学技术普及</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303.89</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303.89</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303.89</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2060701</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机构运行</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236.42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236.42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236.42</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2060702</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科普活动</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社会保障和就业支出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行政事业单位养老支出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2080501</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行政单位离退休</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2080505</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机关事业单位基本养老保险缴费支出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22.07</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22.07</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22.07</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2080506</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机关事业单位职业年金缴费支出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卫生健康支出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24.16</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24.16</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24.16</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21004</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公共卫生</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2100410</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突发公共卫生事件应急处理</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行政事业单位医疗</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19.84</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19.84</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19.84</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2101101</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行政单位医疗</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2101103</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公务员医疗补助</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2.62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2.62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2.62</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住房保障支出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住房改革支出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2210201</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住房公积金</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21.03</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21.03</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21.03</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2210203</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购房补贴</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3.95</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3.95</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3.95</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bl>
    <w:p>
      <w:pPr>
        <w:pStyle w:val="10"/>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512"/>
        <w:gridCol w:w="41"/>
        <w:gridCol w:w="49"/>
        <w:gridCol w:w="5410"/>
        <w:gridCol w:w="1836"/>
        <w:gridCol w:w="1042"/>
        <w:gridCol w:w="1039"/>
        <w:gridCol w:w="1034"/>
        <w:gridCol w:w="1035"/>
        <w:gridCol w:w="9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10"/>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1512" w:type="dxa"/>
            <w:shd w:val="clear" w:color="auto" w:fill="auto"/>
            <w:vAlign w:val="center"/>
          </w:tcPr>
          <w:p>
            <w:pPr>
              <w:rPr>
                <w:rFonts w:hint="eastAsia" w:ascii="宋体" w:hAnsi="宋体" w:eastAsia="宋体" w:cs="宋体"/>
                <w:i w:val="0"/>
                <w:color w:val="000000"/>
                <w:sz w:val="22"/>
                <w:szCs w:val="22"/>
                <w:u w:val="none"/>
              </w:rPr>
            </w:pPr>
          </w:p>
        </w:tc>
        <w:tc>
          <w:tcPr>
            <w:tcW w:w="90" w:type="dxa"/>
            <w:gridSpan w:val="2"/>
            <w:shd w:val="clear" w:color="auto" w:fill="auto"/>
            <w:vAlign w:val="center"/>
          </w:tcPr>
          <w:p>
            <w:pPr>
              <w:rPr>
                <w:rFonts w:hint="eastAsia" w:ascii="宋体" w:hAnsi="宋体" w:eastAsia="宋体" w:cs="宋体"/>
                <w:i w:val="0"/>
                <w:color w:val="000000"/>
                <w:sz w:val="22"/>
                <w:szCs w:val="22"/>
                <w:u w:val="none"/>
              </w:rPr>
            </w:pPr>
          </w:p>
        </w:tc>
        <w:tc>
          <w:tcPr>
            <w:tcW w:w="5410" w:type="dxa"/>
            <w:shd w:val="clear" w:color="auto" w:fill="auto"/>
            <w:vAlign w:val="center"/>
          </w:tcPr>
          <w:p>
            <w:pPr>
              <w:rPr>
                <w:rFonts w:hint="eastAsia" w:ascii="宋体" w:hAnsi="宋体" w:eastAsia="宋体" w:cs="宋体"/>
                <w:i w:val="0"/>
                <w:color w:val="000000"/>
                <w:sz w:val="22"/>
                <w:szCs w:val="22"/>
                <w:u w:val="none"/>
              </w:rPr>
            </w:pPr>
          </w:p>
        </w:tc>
        <w:tc>
          <w:tcPr>
            <w:tcW w:w="1836" w:type="dxa"/>
            <w:shd w:val="clear" w:color="auto" w:fill="auto"/>
            <w:vAlign w:val="center"/>
          </w:tcPr>
          <w:p>
            <w:pPr>
              <w:rPr>
                <w:rFonts w:hint="eastAsia" w:ascii="宋体" w:hAnsi="宋体" w:eastAsia="宋体" w:cs="宋体"/>
                <w:i w:val="0"/>
                <w:color w:val="000000"/>
                <w:sz w:val="22"/>
                <w:szCs w:val="22"/>
                <w:u w:val="none"/>
              </w:rPr>
            </w:pPr>
          </w:p>
        </w:tc>
        <w:tc>
          <w:tcPr>
            <w:tcW w:w="1042" w:type="dxa"/>
            <w:shd w:val="clear" w:color="auto" w:fill="auto"/>
            <w:vAlign w:val="center"/>
          </w:tcPr>
          <w:p>
            <w:pPr>
              <w:rPr>
                <w:rFonts w:hint="eastAsia" w:ascii="宋体" w:hAnsi="宋体" w:eastAsia="宋体" w:cs="宋体"/>
                <w:i w:val="0"/>
                <w:color w:val="000000"/>
                <w:sz w:val="22"/>
                <w:szCs w:val="22"/>
                <w:u w:val="none"/>
              </w:rPr>
            </w:pPr>
          </w:p>
        </w:tc>
        <w:tc>
          <w:tcPr>
            <w:tcW w:w="1039" w:type="dxa"/>
            <w:shd w:val="clear" w:color="auto" w:fill="auto"/>
            <w:vAlign w:val="center"/>
          </w:tcPr>
          <w:p>
            <w:pPr>
              <w:rPr>
                <w:rFonts w:hint="eastAsia" w:ascii="宋体" w:hAnsi="宋体" w:eastAsia="宋体" w:cs="宋体"/>
                <w:i w:val="0"/>
                <w:color w:val="000000"/>
                <w:sz w:val="22"/>
                <w:szCs w:val="22"/>
                <w:u w:val="none"/>
              </w:rPr>
            </w:pPr>
          </w:p>
        </w:tc>
        <w:tc>
          <w:tcPr>
            <w:tcW w:w="3059" w:type="dxa"/>
            <w:gridSpan w:val="3"/>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7012" w:type="dxa"/>
            <w:gridSpan w:val="4"/>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编制单位：锡林郭勒盟科学技术协会（本级）</w:t>
            </w:r>
          </w:p>
        </w:tc>
        <w:tc>
          <w:tcPr>
            <w:tcW w:w="1836" w:type="dxa"/>
            <w:shd w:val="clear" w:color="auto" w:fill="auto"/>
            <w:vAlign w:val="center"/>
          </w:tcPr>
          <w:p>
            <w:pPr>
              <w:rPr>
                <w:rFonts w:hint="eastAsia" w:ascii="宋体" w:hAnsi="宋体" w:eastAsia="宋体" w:cs="宋体"/>
                <w:i w:val="0"/>
                <w:color w:val="000000"/>
                <w:sz w:val="22"/>
                <w:szCs w:val="22"/>
                <w:u w:val="none"/>
              </w:rPr>
            </w:pPr>
          </w:p>
        </w:tc>
        <w:tc>
          <w:tcPr>
            <w:tcW w:w="1042"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1039" w:type="dxa"/>
            <w:shd w:val="clear" w:color="auto" w:fill="auto"/>
            <w:vAlign w:val="center"/>
          </w:tcPr>
          <w:p>
            <w:pPr>
              <w:rPr>
                <w:rFonts w:hint="eastAsia" w:ascii="宋体" w:hAnsi="宋体" w:eastAsia="宋体" w:cs="宋体"/>
                <w:i w:val="0"/>
                <w:color w:val="000000"/>
                <w:sz w:val="22"/>
                <w:szCs w:val="22"/>
                <w:u w:val="none"/>
              </w:rPr>
            </w:pPr>
          </w:p>
        </w:tc>
        <w:tc>
          <w:tcPr>
            <w:tcW w:w="3059" w:type="dxa"/>
            <w:gridSpan w:val="3"/>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01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1836"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本年支出合计</w:t>
            </w:r>
          </w:p>
        </w:tc>
        <w:tc>
          <w:tcPr>
            <w:tcW w:w="1042"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基本支出</w:t>
            </w:r>
          </w:p>
        </w:tc>
        <w:tc>
          <w:tcPr>
            <w:tcW w:w="103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项目支出</w:t>
            </w:r>
          </w:p>
        </w:tc>
        <w:tc>
          <w:tcPr>
            <w:tcW w:w="1034"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上缴上级支出</w:t>
            </w:r>
          </w:p>
        </w:tc>
        <w:tc>
          <w:tcPr>
            <w:tcW w:w="1035"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经营支出</w:t>
            </w:r>
          </w:p>
        </w:tc>
        <w:tc>
          <w:tcPr>
            <w:tcW w:w="990"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553" w:type="dxa"/>
            <w:gridSpan w:val="2"/>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支出功能分类科目代码</w:t>
            </w:r>
          </w:p>
        </w:tc>
        <w:tc>
          <w:tcPr>
            <w:tcW w:w="5459" w:type="dxa"/>
            <w:gridSpan w:val="2"/>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83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4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5"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553"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459"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83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4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5"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553"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459"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83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4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5"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012"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10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103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99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012"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合计</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399.55</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327.76</w:t>
            </w: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71.79</w:t>
            </w:r>
          </w:p>
        </w:tc>
        <w:tc>
          <w:tcPr>
            <w:tcW w:w="10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03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9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科学技术支出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303.91</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236.44</w:t>
            </w: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科学技术普及</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303.91</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236.44</w:t>
            </w: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2060701</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机构运行</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236.44</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236.44</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2060702</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科普活动</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104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社会保障和就业支出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行政事业单位养老支出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2080501</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行政单位离退休</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2080505</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机关事业单位基本养老保险缴费支出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22.07</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22.07</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2080506</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机关事业单位职业年金缴费支出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卫生健康支出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24.16</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19.84</w:t>
            </w: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21004</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公共卫生</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c>
          <w:tcPr>
            <w:tcW w:w="104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2100410</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突发公共卫生事件应急处理</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c>
          <w:tcPr>
            <w:tcW w:w="104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行政事业单位医疗</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19.84</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19.84</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2101101</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行政单位医疗</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2101103</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公务员医疗补助</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2.62</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2.62</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住房保障支出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住房改革支出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2210201</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住房公积金</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21.03</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21.03</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2210203</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购房补贴</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3.95</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3.95</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bl>
    <w:p>
      <w:pPr>
        <w:pStyle w:val="10"/>
        <w:ind w:left="0" w:leftChars="0" w:firstLine="0" w:firstLineChars="0"/>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487"/>
        <w:gridCol w:w="456"/>
        <w:gridCol w:w="2504"/>
        <w:gridCol w:w="2754"/>
        <w:gridCol w:w="523"/>
        <w:gridCol w:w="1190"/>
        <w:gridCol w:w="674"/>
        <w:gridCol w:w="628"/>
        <w:gridCol w:w="27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13988" w:type="dxa"/>
            <w:gridSpan w:val="9"/>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2943" w:type="dxa"/>
            <w:gridSpan w:val="2"/>
            <w:shd w:val="clear" w:color="auto" w:fill="auto"/>
            <w:vAlign w:val="center"/>
          </w:tcPr>
          <w:p>
            <w:pPr>
              <w:rPr>
                <w:rFonts w:hint="eastAsia" w:ascii="宋体" w:hAnsi="宋体" w:eastAsia="宋体" w:cs="宋体"/>
                <w:i w:val="0"/>
                <w:color w:val="000000"/>
                <w:sz w:val="22"/>
                <w:szCs w:val="22"/>
                <w:u w:val="none"/>
              </w:rPr>
            </w:pPr>
          </w:p>
        </w:tc>
        <w:tc>
          <w:tcPr>
            <w:tcW w:w="2504" w:type="dxa"/>
            <w:shd w:val="clear" w:color="auto" w:fill="auto"/>
            <w:vAlign w:val="center"/>
          </w:tcPr>
          <w:p>
            <w:pPr>
              <w:rPr>
                <w:rFonts w:hint="eastAsia" w:ascii="宋体" w:hAnsi="宋体" w:eastAsia="宋体" w:cs="宋体"/>
                <w:i w:val="0"/>
                <w:color w:val="000000"/>
                <w:sz w:val="22"/>
                <w:szCs w:val="22"/>
                <w:u w:val="none"/>
              </w:rPr>
            </w:pPr>
          </w:p>
        </w:tc>
        <w:tc>
          <w:tcPr>
            <w:tcW w:w="2754" w:type="dxa"/>
            <w:shd w:val="clear" w:color="auto" w:fill="auto"/>
            <w:vAlign w:val="center"/>
          </w:tcPr>
          <w:p>
            <w:pPr>
              <w:rPr>
                <w:rFonts w:hint="eastAsia" w:ascii="宋体" w:hAnsi="宋体" w:eastAsia="宋体" w:cs="宋体"/>
                <w:i w:val="0"/>
                <w:color w:val="000000"/>
                <w:sz w:val="22"/>
                <w:szCs w:val="22"/>
                <w:u w:val="none"/>
              </w:rPr>
            </w:pPr>
          </w:p>
        </w:tc>
        <w:tc>
          <w:tcPr>
            <w:tcW w:w="523" w:type="dxa"/>
            <w:shd w:val="clear" w:color="auto" w:fill="auto"/>
            <w:vAlign w:val="center"/>
          </w:tcPr>
          <w:p>
            <w:pPr>
              <w:rPr>
                <w:rFonts w:hint="eastAsia" w:ascii="宋体" w:hAnsi="宋体" w:eastAsia="宋体" w:cs="宋体"/>
                <w:i w:val="0"/>
                <w:color w:val="000000"/>
                <w:sz w:val="22"/>
                <w:szCs w:val="22"/>
                <w:u w:val="none"/>
              </w:rPr>
            </w:pPr>
          </w:p>
        </w:tc>
        <w:tc>
          <w:tcPr>
            <w:tcW w:w="1190" w:type="dxa"/>
            <w:shd w:val="clear" w:color="auto" w:fill="auto"/>
            <w:vAlign w:val="center"/>
          </w:tcPr>
          <w:p>
            <w:pPr>
              <w:rPr>
                <w:rFonts w:hint="eastAsia" w:ascii="宋体" w:hAnsi="宋体" w:eastAsia="宋体" w:cs="宋体"/>
                <w:i w:val="0"/>
                <w:color w:val="000000"/>
                <w:sz w:val="22"/>
                <w:szCs w:val="22"/>
                <w:u w:val="none"/>
              </w:rPr>
            </w:pPr>
          </w:p>
        </w:tc>
        <w:tc>
          <w:tcPr>
            <w:tcW w:w="674" w:type="dxa"/>
            <w:shd w:val="clear" w:color="auto" w:fill="auto"/>
            <w:vAlign w:val="center"/>
          </w:tcPr>
          <w:p>
            <w:pPr>
              <w:rPr>
                <w:rFonts w:hint="eastAsia" w:ascii="宋体" w:hAnsi="宋体" w:eastAsia="宋体" w:cs="宋体"/>
                <w:i w:val="0"/>
                <w:color w:val="000000"/>
                <w:sz w:val="22"/>
                <w:szCs w:val="22"/>
                <w:u w:val="none"/>
              </w:rPr>
            </w:pPr>
          </w:p>
        </w:tc>
        <w:tc>
          <w:tcPr>
            <w:tcW w:w="628" w:type="dxa"/>
            <w:shd w:val="clear" w:color="auto" w:fill="auto"/>
            <w:vAlign w:val="center"/>
          </w:tcPr>
          <w:p>
            <w:pPr>
              <w:rPr>
                <w:rFonts w:hint="eastAsia" w:ascii="宋体" w:hAnsi="宋体" w:eastAsia="宋体" w:cs="宋体"/>
                <w:i w:val="0"/>
                <w:color w:val="000000"/>
                <w:sz w:val="22"/>
                <w:szCs w:val="22"/>
                <w:u w:val="none"/>
              </w:rPr>
            </w:pPr>
          </w:p>
        </w:tc>
        <w:tc>
          <w:tcPr>
            <w:tcW w:w="2772"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79" w:hRule="atLeast"/>
        </w:trPr>
        <w:tc>
          <w:tcPr>
            <w:tcW w:w="5447" w:type="dxa"/>
            <w:gridSpan w:val="3"/>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编制单位：锡林郭勒盟科学技术协会（本级）</w:t>
            </w:r>
          </w:p>
        </w:tc>
        <w:tc>
          <w:tcPr>
            <w:tcW w:w="3277" w:type="dxa"/>
            <w:gridSpan w:val="2"/>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1190" w:type="dxa"/>
            <w:shd w:val="clear" w:color="auto" w:fill="auto"/>
            <w:vAlign w:val="center"/>
          </w:tcPr>
          <w:p>
            <w:pPr>
              <w:rPr>
                <w:rFonts w:hint="eastAsia" w:ascii="宋体" w:hAnsi="宋体" w:eastAsia="宋体" w:cs="宋体"/>
                <w:i w:val="0"/>
                <w:color w:val="000000"/>
                <w:sz w:val="22"/>
                <w:szCs w:val="22"/>
                <w:u w:val="none"/>
              </w:rPr>
            </w:pPr>
          </w:p>
        </w:tc>
        <w:tc>
          <w:tcPr>
            <w:tcW w:w="674" w:type="dxa"/>
            <w:shd w:val="clear" w:color="auto" w:fill="auto"/>
            <w:vAlign w:val="center"/>
          </w:tcPr>
          <w:p>
            <w:pPr>
              <w:rPr>
                <w:rFonts w:hint="eastAsia" w:ascii="宋体" w:hAnsi="宋体" w:eastAsia="宋体" w:cs="宋体"/>
                <w:i w:val="0"/>
                <w:color w:val="000000"/>
                <w:sz w:val="22"/>
                <w:szCs w:val="22"/>
                <w:u w:val="none"/>
              </w:rPr>
            </w:pPr>
          </w:p>
        </w:tc>
        <w:tc>
          <w:tcPr>
            <w:tcW w:w="628" w:type="dxa"/>
            <w:shd w:val="clear" w:color="auto" w:fill="auto"/>
            <w:vAlign w:val="center"/>
          </w:tcPr>
          <w:p>
            <w:pPr>
              <w:rPr>
                <w:rFonts w:hint="eastAsia" w:ascii="宋体" w:hAnsi="宋体" w:eastAsia="宋体" w:cs="宋体"/>
                <w:i w:val="0"/>
                <w:color w:val="000000"/>
                <w:sz w:val="22"/>
                <w:szCs w:val="22"/>
                <w:u w:val="none"/>
              </w:rPr>
            </w:pPr>
          </w:p>
        </w:tc>
        <w:tc>
          <w:tcPr>
            <w:tcW w:w="2772"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5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收     入</w:t>
            </w:r>
          </w:p>
        </w:tc>
        <w:tc>
          <w:tcPr>
            <w:tcW w:w="8541" w:type="dxa"/>
            <w:gridSpan w:val="6"/>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     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2487"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456"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行次</w:t>
            </w:r>
          </w:p>
        </w:tc>
        <w:tc>
          <w:tcPr>
            <w:tcW w:w="250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金额</w:t>
            </w:r>
          </w:p>
        </w:tc>
        <w:tc>
          <w:tcPr>
            <w:tcW w:w="275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523"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行次</w:t>
            </w:r>
          </w:p>
        </w:tc>
        <w:tc>
          <w:tcPr>
            <w:tcW w:w="1190"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合计</w:t>
            </w:r>
          </w:p>
        </w:tc>
        <w:tc>
          <w:tcPr>
            <w:tcW w:w="67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一般公共预算财政拨款</w:t>
            </w:r>
          </w:p>
        </w:tc>
        <w:tc>
          <w:tcPr>
            <w:tcW w:w="628"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政府性基金预算财政拨款</w:t>
            </w:r>
          </w:p>
        </w:tc>
        <w:tc>
          <w:tcPr>
            <w:tcW w:w="2772"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487"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456"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50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75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23"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190"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67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628"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772"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456"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523"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一、一般公共预算财政拨款</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399.53</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一、一般公共服务支出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二、政府性基金预算财政拨款</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二、外交支出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34</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三、国有资本经营财政拨款</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三、国防支出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35</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四、公共安全支出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五、教育支出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37</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六、科学技术支出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38</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303.89</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303.89</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七、文化旅游体育与传媒支出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八、社会保障和就业支出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40</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九、卫生健康支出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41</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24.16</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24.16</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十、节能环保支出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42</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十一、城乡社区支出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12</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十二、农林水支出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44</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十三、交通运输支出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45</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十四、资源勘探工业信息等支出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十五、商业服务业等支出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47</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16</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十六、金融支出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十七、援助其他地区支出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49</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十八、自然资源海洋气象等支出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50</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十九、住房保障支出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二十、粮油物资储备支出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52</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二十一、国有资本经营预算支出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二十二、灾害防治及应急管理支出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54</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二十三、其他支出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55</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二十四、债务还本支出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56</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25</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二十五、债务付息支出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57</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26</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二十六、抗疫特别国债安排的支出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58</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本年收入合计</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399.53</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本年支出合计</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59</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399.53</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399.53</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年初财政拨款结转和结余</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28</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年末财政拨款结转和结余</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60</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一般公共预算财政拨款</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5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61</w:t>
            </w:r>
          </w:p>
        </w:tc>
        <w:tc>
          <w:tcPr>
            <w:tcW w:w="11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67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277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政府性基金预算财政拨款</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54"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62</w:t>
            </w:r>
          </w:p>
        </w:tc>
        <w:tc>
          <w:tcPr>
            <w:tcW w:w="11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67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277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国有资本经营预算财政拨款</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54"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63</w:t>
            </w:r>
          </w:p>
        </w:tc>
        <w:tc>
          <w:tcPr>
            <w:tcW w:w="11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67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277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总计</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32</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399.53</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总计</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64</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399.53</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399.53</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13988" w:type="dxa"/>
            <w:gridSpan w:val="9"/>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注：本表反映部门本年度一般公共预算财政拨款、政府性基金预算财政拨款和国有资本经营预算财政拨款的总收支和年末结转结余情况。本表金额单位转换时可能存在尾数误差。</w:t>
            </w:r>
          </w:p>
        </w:tc>
      </w:tr>
    </w:tbl>
    <w:p>
      <w:pPr>
        <w:pStyle w:val="10"/>
        <w:ind w:left="0" w:leftChars="0" w:firstLine="0" w:firstLineChars="0"/>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662"/>
        <w:gridCol w:w="47"/>
        <w:gridCol w:w="43"/>
        <w:gridCol w:w="5212"/>
        <w:gridCol w:w="3018"/>
        <w:gridCol w:w="1043"/>
        <w:gridCol w:w="29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7"/>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1662" w:type="dxa"/>
            <w:shd w:val="clear" w:color="auto" w:fill="auto"/>
            <w:vAlign w:val="center"/>
          </w:tcPr>
          <w:p>
            <w:pPr>
              <w:rPr>
                <w:rFonts w:hint="eastAsia" w:ascii="宋体" w:hAnsi="宋体" w:eastAsia="宋体" w:cs="宋体"/>
                <w:i w:val="0"/>
                <w:color w:val="000000"/>
                <w:sz w:val="22"/>
                <w:szCs w:val="22"/>
                <w:u w:val="none"/>
              </w:rPr>
            </w:pPr>
          </w:p>
        </w:tc>
        <w:tc>
          <w:tcPr>
            <w:tcW w:w="90" w:type="dxa"/>
            <w:gridSpan w:val="2"/>
            <w:shd w:val="clear" w:color="auto" w:fill="auto"/>
            <w:vAlign w:val="center"/>
          </w:tcPr>
          <w:p>
            <w:pPr>
              <w:rPr>
                <w:rFonts w:hint="eastAsia" w:ascii="宋体" w:hAnsi="宋体" w:eastAsia="宋体" w:cs="宋体"/>
                <w:i w:val="0"/>
                <w:color w:val="000000"/>
                <w:sz w:val="22"/>
                <w:szCs w:val="22"/>
                <w:u w:val="none"/>
              </w:rPr>
            </w:pPr>
          </w:p>
        </w:tc>
        <w:tc>
          <w:tcPr>
            <w:tcW w:w="5212" w:type="dxa"/>
            <w:shd w:val="clear" w:color="auto" w:fill="auto"/>
            <w:vAlign w:val="center"/>
          </w:tcPr>
          <w:p>
            <w:pPr>
              <w:rPr>
                <w:rFonts w:hint="eastAsia" w:ascii="宋体" w:hAnsi="宋体" w:eastAsia="宋体" w:cs="宋体"/>
                <w:i w:val="0"/>
                <w:color w:val="000000"/>
                <w:sz w:val="22"/>
                <w:szCs w:val="22"/>
                <w:u w:val="none"/>
              </w:rPr>
            </w:pPr>
          </w:p>
        </w:tc>
        <w:tc>
          <w:tcPr>
            <w:tcW w:w="3018" w:type="dxa"/>
            <w:shd w:val="clear" w:color="auto" w:fill="auto"/>
            <w:vAlign w:val="center"/>
          </w:tcPr>
          <w:p>
            <w:pPr>
              <w:rPr>
                <w:rFonts w:hint="eastAsia" w:ascii="宋体" w:hAnsi="宋体" w:eastAsia="宋体" w:cs="宋体"/>
                <w:i w:val="0"/>
                <w:color w:val="000000"/>
                <w:sz w:val="22"/>
                <w:szCs w:val="22"/>
                <w:u w:val="none"/>
              </w:rPr>
            </w:pPr>
          </w:p>
        </w:tc>
        <w:tc>
          <w:tcPr>
            <w:tcW w:w="1043" w:type="dxa"/>
            <w:shd w:val="clear" w:color="auto" w:fill="auto"/>
            <w:vAlign w:val="center"/>
          </w:tcPr>
          <w:p>
            <w:pPr>
              <w:rPr>
                <w:rFonts w:hint="eastAsia" w:ascii="宋体" w:hAnsi="宋体" w:eastAsia="宋体" w:cs="宋体"/>
                <w:i w:val="0"/>
                <w:color w:val="000000"/>
                <w:sz w:val="22"/>
                <w:szCs w:val="22"/>
                <w:u w:val="none"/>
              </w:rPr>
            </w:pPr>
          </w:p>
        </w:tc>
        <w:tc>
          <w:tcPr>
            <w:tcW w:w="2963"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公开05表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6964" w:type="dxa"/>
            <w:gridSpan w:val="4"/>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编制单位：锡林郭勒盟科学技术协会（本级）</w:t>
            </w:r>
          </w:p>
        </w:tc>
        <w:tc>
          <w:tcPr>
            <w:tcW w:w="3018" w:type="dxa"/>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2023年度</w:t>
            </w:r>
          </w:p>
        </w:tc>
        <w:tc>
          <w:tcPr>
            <w:tcW w:w="1043" w:type="dxa"/>
            <w:shd w:val="clear" w:color="auto" w:fill="auto"/>
            <w:vAlign w:val="center"/>
          </w:tcPr>
          <w:p>
            <w:pPr>
              <w:rPr>
                <w:rFonts w:hint="eastAsia" w:ascii="宋体" w:hAnsi="宋体" w:eastAsia="宋体" w:cs="宋体"/>
                <w:i w:val="0"/>
                <w:color w:val="000000"/>
                <w:sz w:val="22"/>
                <w:szCs w:val="22"/>
                <w:u w:val="none"/>
              </w:rPr>
            </w:pPr>
          </w:p>
        </w:tc>
        <w:tc>
          <w:tcPr>
            <w:tcW w:w="2963"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6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7024" w:type="dxa"/>
            <w:gridSpan w:val="3"/>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709" w:type="dxa"/>
            <w:gridSpan w:val="2"/>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支出功能分类科目代码</w:t>
            </w:r>
          </w:p>
        </w:tc>
        <w:tc>
          <w:tcPr>
            <w:tcW w:w="5255" w:type="dxa"/>
            <w:gridSpan w:val="2"/>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3018"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小计</w:t>
            </w:r>
          </w:p>
        </w:tc>
        <w:tc>
          <w:tcPr>
            <w:tcW w:w="1043"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基本支出</w:t>
            </w:r>
          </w:p>
        </w:tc>
        <w:tc>
          <w:tcPr>
            <w:tcW w:w="2963"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709"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255"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018"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43"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963"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709"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255"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018"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43"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963"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64"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296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64"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合计</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399.53</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327.74</w:t>
            </w:r>
          </w:p>
        </w:tc>
        <w:tc>
          <w:tcPr>
            <w:tcW w:w="296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科学技术支出</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303.89</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236.42</w:t>
            </w:r>
          </w:p>
        </w:tc>
        <w:tc>
          <w:tcPr>
            <w:tcW w:w="296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科学技术普及</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303.89</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236.42</w:t>
            </w:r>
          </w:p>
        </w:tc>
        <w:tc>
          <w:tcPr>
            <w:tcW w:w="296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2060701</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机构运行</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236.42</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236.42</w:t>
            </w:r>
          </w:p>
        </w:tc>
        <w:tc>
          <w:tcPr>
            <w:tcW w:w="296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2060702</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科普活动</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104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296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社会保障和就业支出</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296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行政事业单位养老支出</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46.51</w:t>
            </w:r>
          </w:p>
        </w:tc>
        <w:tc>
          <w:tcPr>
            <w:tcW w:w="296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2080501</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行政单位离退休</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296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2080505</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机关事业单位基本养老保险缴费支出</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22.07</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22.07</w:t>
            </w:r>
          </w:p>
        </w:tc>
        <w:tc>
          <w:tcPr>
            <w:tcW w:w="296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2080506</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机关事业单位职业年金缴费支出</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296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卫生健康支出</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24.16</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19.84</w:t>
            </w:r>
          </w:p>
        </w:tc>
        <w:tc>
          <w:tcPr>
            <w:tcW w:w="296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21004</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公共卫生</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c>
          <w:tcPr>
            <w:tcW w:w="104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296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2100410</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突发公共卫生事件应急处理</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c>
          <w:tcPr>
            <w:tcW w:w="104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296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行政事业单位医疗</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19.84</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19.84</w:t>
            </w:r>
          </w:p>
        </w:tc>
        <w:tc>
          <w:tcPr>
            <w:tcW w:w="296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2101101</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行政单位医疗</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296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2101103</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公务员医疗补助</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2.62</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2.62</w:t>
            </w:r>
          </w:p>
        </w:tc>
        <w:tc>
          <w:tcPr>
            <w:tcW w:w="296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住房保障支出</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296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住房改革支出</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24.98</w:t>
            </w:r>
          </w:p>
        </w:tc>
        <w:tc>
          <w:tcPr>
            <w:tcW w:w="296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2210201</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住房公积金</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21.03</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21.03</w:t>
            </w:r>
          </w:p>
        </w:tc>
        <w:tc>
          <w:tcPr>
            <w:tcW w:w="296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709"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2210203</w:t>
            </w:r>
          </w:p>
        </w:tc>
        <w:tc>
          <w:tcPr>
            <w:tcW w:w="525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购房补贴</w:t>
            </w:r>
          </w:p>
        </w:tc>
        <w:tc>
          <w:tcPr>
            <w:tcW w:w="301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3.95</w:t>
            </w:r>
          </w:p>
        </w:tc>
        <w:tc>
          <w:tcPr>
            <w:tcW w:w="104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3.95</w:t>
            </w:r>
          </w:p>
        </w:tc>
        <w:tc>
          <w:tcPr>
            <w:tcW w:w="296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3988" w:type="dxa"/>
            <w:gridSpan w:val="7"/>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注：1.本表反映部门本年度一般公共预算财政拨款支出情况。本表金额单位转换时可能存在尾数误差。</w:t>
            </w:r>
          </w:p>
        </w:tc>
      </w:tr>
    </w:tbl>
    <w:p>
      <w:pPr>
        <w:pStyle w:val="10"/>
        <w:ind w:left="0" w:leftChars="0" w:firstLine="0" w:firstLineChars="0"/>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90"/>
        <w:gridCol w:w="2530"/>
        <w:gridCol w:w="1286"/>
        <w:gridCol w:w="864"/>
        <w:gridCol w:w="1995"/>
        <w:gridCol w:w="1287"/>
        <w:gridCol w:w="804"/>
        <w:gridCol w:w="3244"/>
        <w:gridCol w:w="1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9"/>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3220" w:type="dxa"/>
            <w:gridSpan w:val="2"/>
            <w:shd w:val="clear" w:color="auto" w:fill="auto"/>
            <w:vAlign w:val="center"/>
          </w:tcPr>
          <w:p>
            <w:pPr>
              <w:rPr>
                <w:rFonts w:hint="eastAsia" w:ascii="宋体" w:hAnsi="宋体" w:eastAsia="宋体" w:cs="宋体"/>
                <w:i w:val="0"/>
                <w:color w:val="000000"/>
                <w:sz w:val="22"/>
                <w:szCs w:val="22"/>
                <w:u w:val="none"/>
              </w:rPr>
            </w:pPr>
          </w:p>
        </w:tc>
        <w:tc>
          <w:tcPr>
            <w:tcW w:w="1286" w:type="dxa"/>
            <w:shd w:val="clear" w:color="auto" w:fill="auto"/>
            <w:vAlign w:val="center"/>
          </w:tcPr>
          <w:p>
            <w:pPr>
              <w:rPr>
                <w:rFonts w:hint="eastAsia" w:ascii="宋体" w:hAnsi="宋体" w:eastAsia="宋体" w:cs="宋体"/>
                <w:i w:val="0"/>
                <w:color w:val="000000"/>
                <w:sz w:val="22"/>
                <w:szCs w:val="22"/>
                <w:u w:val="none"/>
              </w:rPr>
            </w:pPr>
          </w:p>
        </w:tc>
        <w:tc>
          <w:tcPr>
            <w:tcW w:w="864" w:type="dxa"/>
            <w:shd w:val="clear" w:color="auto" w:fill="auto"/>
            <w:vAlign w:val="center"/>
          </w:tcPr>
          <w:p>
            <w:pPr>
              <w:rPr>
                <w:rFonts w:hint="eastAsia" w:ascii="宋体" w:hAnsi="宋体" w:eastAsia="宋体" w:cs="宋体"/>
                <w:i w:val="0"/>
                <w:color w:val="000000"/>
                <w:sz w:val="22"/>
                <w:szCs w:val="22"/>
                <w:u w:val="none"/>
              </w:rPr>
            </w:pPr>
          </w:p>
        </w:tc>
        <w:tc>
          <w:tcPr>
            <w:tcW w:w="1995" w:type="dxa"/>
            <w:shd w:val="clear" w:color="auto" w:fill="auto"/>
            <w:vAlign w:val="center"/>
          </w:tcPr>
          <w:p>
            <w:pPr>
              <w:rPr>
                <w:rFonts w:hint="eastAsia" w:ascii="宋体" w:hAnsi="宋体" w:eastAsia="宋体" w:cs="宋体"/>
                <w:i w:val="0"/>
                <w:color w:val="000000"/>
                <w:sz w:val="22"/>
                <w:szCs w:val="22"/>
                <w:u w:val="none"/>
              </w:rPr>
            </w:pPr>
          </w:p>
        </w:tc>
        <w:tc>
          <w:tcPr>
            <w:tcW w:w="1287" w:type="dxa"/>
            <w:shd w:val="clear" w:color="auto" w:fill="auto"/>
            <w:vAlign w:val="center"/>
          </w:tcPr>
          <w:p>
            <w:pPr>
              <w:rPr>
                <w:rFonts w:hint="eastAsia" w:ascii="宋体" w:hAnsi="宋体" w:eastAsia="宋体" w:cs="宋体"/>
                <w:i w:val="0"/>
                <w:color w:val="000000"/>
                <w:sz w:val="22"/>
                <w:szCs w:val="22"/>
                <w:u w:val="none"/>
              </w:rPr>
            </w:pPr>
          </w:p>
        </w:tc>
        <w:tc>
          <w:tcPr>
            <w:tcW w:w="804" w:type="dxa"/>
            <w:shd w:val="clear" w:color="auto" w:fill="auto"/>
            <w:vAlign w:val="center"/>
          </w:tcPr>
          <w:p>
            <w:pPr>
              <w:rPr>
                <w:rFonts w:hint="eastAsia" w:ascii="宋体" w:hAnsi="宋体" w:eastAsia="宋体" w:cs="宋体"/>
                <w:i w:val="0"/>
                <w:color w:val="000000"/>
                <w:sz w:val="22"/>
                <w:szCs w:val="22"/>
                <w:u w:val="none"/>
              </w:rPr>
            </w:pPr>
          </w:p>
        </w:tc>
        <w:tc>
          <w:tcPr>
            <w:tcW w:w="3244" w:type="dxa"/>
            <w:shd w:val="clear" w:color="auto" w:fill="auto"/>
            <w:vAlign w:val="center"/>
          </w:tcPr>
          <w:p>
            <w:pPr>
              <w:rPr>
                <w:rFonts w:hint="eastAsia" w:ascii="宋体" w:hAnsi="宋体" w:eastAsia="宋体" w:cs="宋体"/>
                <w:i w:val="0"/>
                <w:color w:val="000000"/>
                <w:sz w:val="22"/>
                <w:szCs w:val="22"/>
                <w:u w:val="none"/>
              </w:rPr>
            </w:pPr>
          </w:p>
        </w:tc>
        <w:tc>
          <w:tcPr>
            <w:tcW w:w="128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公开06表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5370" w:type="dxa"/>
            <w:gridSpan w:val="4"/>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编制单位：锡林郭勒盟科学技术协会（本级）</w:t>
            </w:r>
          </w:p>
        </w:tc>
        <w:tc>
          <w:tcPr>
            <w:tcW w:w="1995"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1287" w:type="dxa"/>
            <w:shd w:val="clear" w:color="auto" w:fill="auto"/>
            <w:vAlign w:val="center"/>
          </w:tcPr>
          <w:p>
            <w:pPr>
              <w:rPr>
                <w:rFonts w:hint="eastAsia" w:ascii="宋体" w:hAnsi="宋体" w:eastAsia="宋体" w:cs="宋体"/>
                <w:i w:val="0"/>
                <w:color w:val="000000"/>
                <w:sz w:val="22"/>
                <w:szCs w:val="22"/>
                <w:u w:val="none"/>
              </w:rPr>
            </w:pPr>
          </w:p>
        </w:tc>
        <w:tc>
          <w:tcPr>
            <w:tcW w:w="804" w:type="dxa"/>
            <w:shd w:val="clear" w:color="auto" w:fill="auto"/>
            <w:vAlign w:val="center"/>
          </w:tcPr>
          <w:p>
            <w:pPr>
              <w:rPr>
                <w:rFonts w:hint="eastAsia" w:ascii="宋体" w:hAnsi="宋体" w:eastAsia="宋体" w:cs="宋体"/>
                <w:i w:val="0"/>
                <w:color w:val="000000"/>
                <w:sz w:val="22"/>
                <w:szCs w:val="22"/>
                <w:u w:val="none"/>
              </w:rPr>
            </w:pPr>
          </w:p>
        </w:tc>
        <w:tc>
          <w:tcPr>
            <w:tcW w:w="4532" w:type="dxa"/>
            <w:gridSpan w:val="2"/>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4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人员经费</w:t>
            </w:r>
          </w:p>
        </w:tc>
        <w:tc>
          <w:tcPr>
            <w:tcW w:w="9482" w:type="dxa"/>
            <w:gridSpan w:val="6"/>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690"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科目代码</w:t>
            </w:r>
          </w:p>
        </w:tc>
        <w:tc>
          <w:tcPr>
            <w:tcW w:w="2530"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286"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决算数</w:t>
            </w:r>
          </w:p>
        </w:tc>
        <w:tc>
          <w:tcPr>
            <w:tcW w:w="86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科目代码</w:t>
            </w:r>
          </w:p>
        </w:tc>
        <w:tc>
          <w:tcPr>
            <w:tcW w:w="1995"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287"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决算数</w:t>
            </w:r>
          </w:p>
        </w:tc>
        <w:tc>
          <w:tcPr>
            <w:tcW w:w="80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科目代码</w:t>
            </w:r>
          </w:p>
        </w:tc>
        <w:tc>
          <w:tcPr>
            <w:tcW w:w="324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288"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69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530"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286"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6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995"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28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0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24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288"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工资福利支出</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274.17</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商品和服务支出</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29.83</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债务利息及费用支出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30101</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基本工资</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67.39</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30201</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办公费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5.19</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30701</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国内债务付息</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30102</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津贴补贴</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78.08</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30202</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印刷费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30702</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国外债务付息</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30103</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奖金</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21.91</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30203</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咨询费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30704</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国内债务发行费用</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30106</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伙食补助费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30204</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手续费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资本性支出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30107</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绩效工资</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30205</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水费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31001</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房屋建筑物购建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30108</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机关事业单位基本养老保险缴费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22.07</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30206</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电费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31002</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办公设备购置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30109</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职业年金缴费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30207</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邮电费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0.54</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31003</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专用设备购置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30110</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职工基本医疗保险缴费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8.52</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30208</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取暖费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31005</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基础设施建设</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30111</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公务员医疗补助缴费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30209</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物业管理费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31006</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大型修缮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30112</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其他社会保障缴费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2.15</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30211</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差旅费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0.31</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31007</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信息网络及软件购置更新</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30113</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住房公积金</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21.03</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30212</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因公出国（境）费用</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31008</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物资储备</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30114</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医疗费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30213</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维修（护）费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0.62</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土地补偿</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30199</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其他工资福利支出</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41.02</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30214</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租赁费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31010</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安置补助</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对个人和家庭的补助</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23.76</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30215</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会议费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31011</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地上附着物和青苗补偿</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30301</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离休费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30216</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培训费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31012</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拆迁补偿</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30302</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退休费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30217</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公务接待费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31013</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公务用车购置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30303</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退职（役）费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30218</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专用材料费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其他交通工具购置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30304</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抚恤金</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30224</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被装购置费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31021</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文物和陈列品购置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30305</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生活补助</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30225</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专用燃料费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31022</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无形资产购置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30306</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救济费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30226</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劳务费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31099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其他资本性支出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30307</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医疗费补助</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10.02</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30227</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委托业务费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对企业补助</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30308</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助学金</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30228</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工会经费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3.95</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31204</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费用补贴</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30309</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奖励金</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30229</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福利费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3.47</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31299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其他对企业补助</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30310</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个人农业生产补贴</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30231</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公务用车运行维护费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其他支出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30311</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代缴社会保险费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30239</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其他交通费用</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13.28</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39907</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国家赔偿费用支出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30399</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其他对个人和家庭的补助</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30240</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税金及附加费用</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39908</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对民间非营利组织和群众性自治组织补贴</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530"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30299</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其他商品和服务支出</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0.67</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39909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经常性赠与</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530"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995"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28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39910</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资本性赠与</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530"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995"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28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39999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其他支出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2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人员经费合计</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297.93</w:t>
            </w:r>
          </w:p>
        </w:tc>
        <w:tc>
          <w:tcPr>
            <w:tcW w:w="8194" w:type="dxa"/>
            <w:gridSpan w:val="5"/>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公用经费合计</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3988" w:type="dxa"/>
            <w:gridSpan w:val="9"/>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注：1.本表反映部门本年度一般公共预算财政拨款基本支出明细情况。</w:t>
            </w:r>
          </w:p>
        </w:tc>
      </w:tr>
    </w:tbl>
    <w:p>
      <w:pPr>
        <w:pStyle w:val="10"/>
        <w:ind w:left="0" w:leftChars="0" w:firstLine="0" w:firstLineChars="0"/>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37"/>
        <w:gridCol w:w="2358"/>
        <w:gridCol w:w="1327"/>
        <w:gridCol w:w="737"/>
        <w:gridCol w:w="2358"/>
        <w:gridCol w:w="1328"/>
        <w:gridCol w:w="737"/>
        <w:gridCol w:w="3045"/>
        <w:gridCol w:w="13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13988" w:type="dxa"/>
            <w:gridSpan w:val="9"/>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一般公共预算财政拨款项目支出决算明细表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3095" w:type="dxa"/>
            <w:gridSpan w:val="2"/>
            <w:shd w:val="clear" w:color="auto" w:fill="auto"/>
            <w:vAlign w:val="center"/>
          </w:tcPr>
          <w:p>
            <w:pPr>
              <w:rPr>
                <w:rFonts w:hint="eastAsia" w:ascii="宋体" w:hAnsi="宋体" w:eastAsia="宋体" w:cs="宋体"/>
                <w:i w:val="0"/>
                <w:color w:val="000000"/>
                <w:sz w:val="22"/>
                <w:szCs w:val="22"/>
                <w:u w:val="none"/>
              </w:rPr>
            </w:pPr>
          </w:p>
        </w:tc>
        <w:tc>
          <w:tcPr>
            <w:tcW w:w="1327" w:type="dxa"/>
            <w:shd w:val="clear" w:color="auto" w:fill="auto"/>
            <w:vAlign w:val="center"/>
          </w:tcPr>
          <w:p>
            <w:pPr>
              <w:rPr>
                <w:rFonts w:hint="eastAsia" w:ascii="宋体" w:hAnsi="宋体" w:eastAsia="宋体" w:cs="宋体"/>
                <w:i w:val="0"/>
                <w:color w:val="000000"/>
                <w:sz w:val="22"/>
                <w:szCs w:val="22"/>
                <w:u w:val="none"/>
              </w:rPr>
            </w:pPr>
          </w:p>
        </w:tc>
        <w:tc>
          <w:tcPr>
            <w:tcW w:w="737" w:type="dxa"/>
            <w:shd w:val="clear" w:color="auto" w:fill="auto"/>
            <w:vAlign w:val="center"/>
          </w:tcPr>
          <w:p>
            <w:pPr>
              <w:rPr>
                <w:rFonts w:hint="eastAsia" w:ascii="宋体" w:hAnsi="宋体" w:eastAsia="宋体" w:cs="宋体"/>
                <w:i w:val="0"/>
                <w:color w:val="000000"/>
                <w:sz w:val="22"/>
                <w:szCs w:val="22"/>
                <w:u w:val="none"/>
              </w:rPr>
            </w:pPr>
          </w:p>
        </w:tc>
        <w:tc>
          <w:tcPr>
            <w:tcW w:w="2358" w:type="dxa"/>
            <w:shd w:val="clear" w:color="auto" w:fill="auto"/>
            <w:vAlign w:val="center"/>
          </w:tcPr>
          <w:p>
            <w:pPr>
              <w:rPr>
                <w:rFonts w:hint="eastAsia" w:ascii="宋体" w:hAnsi="宋体" w:eastAsia="宋体" w:cs="宋体"/>
                <w:i w:val="0"/>
                <w:color w:val="000000"/>
                <w:sz w:val="22"/>
                <w:szCs w:val="22"/>
                <w:u w:val="none"/>
              </w:rPr>
            </w:pPr>
          </w:p>
        </w:tc>
        <w:tc>
          <w:tcPr>
            <w:tcW w:w="1328" w:type="dxa"/>
            <w:shd w:val="clear" w:color="auto" w:fill="auto"/>
            <w:vAlign w:val="center"/>
          </w:tcPr>
          <w:p>
            <w:pPr>
              <w:rPr>
                <w:rFonts w:hint="eastAsia" w:ascii="宋体" w:hAnsi="宋体" w:eastAsia="宋体" w:cs="宋体"/>
                <w:i w:val="0"/>
                <w:color w:val="000000"/>
                <w:sz w:val="22"/>
                <w:szCs w:val="22"/>
                <w:u w:val="none"/>
              </w:rPr>
            </w:pPr>
          </w:p>
        </w:tc>
        <w:tc>
          <w:tcPr>
            <w:tcW w:w="737" w:type="dxa"/>
            <w:shd w:val="clear" w:color="auto" w:fill="auto"/>
            <w:vAlign w:val="center"/>
          </w:tcPr>
          <w:p>
            <w:pPr>
              <w:rPr>
                <w:rFonts w:hint="eastAsia" w:ascii="宋体" w:hAnsi="宋体" w:eastAsia="宋体" w:cs="宋体"/>
                <w:i w:val="0"/>
                <w:color w:val="000000"/>
                <w:sz w:val="22"/>
                <w:szCs w:val="22"/>
                <w:u w:val="none"/>
              </w:rPr>
            </w:pPr>
          </w:p>
        </w:tc>
        <w:tc>
          <w:tcPr>
            <w:tcW w:w="3045" w:type="dxa"/>
            <w:shd w:val="clear" w:color="auto" w:fill="auto"/>
            <w:vAlign w:val="center"/>
          </w:tcPr>
          <w:p>
            <w:pPr>
              <w:rPr>
                <w:rFonts w:hint="eastAsia" w:ascii="宋体" w:hAnsi="宋体" w:eastAsia="宋体" w:cs="宋体"/>
                <w:i w:val="0"/>
                <w:color w:val="000000"/>
                <w:sz w:val="22"/>
                <w:szCs w:val="22"/>
                <w:u w:val="none"/>
              </w:rPr>
            </w:pPr>
          </w:p>
        </w:tc>
        <w:tc>
          <w:tcPr>
            <w:tcW w:w="1361"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公开07表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5159" w:type="dxa"/>
            <w:gridSpan w:val="4"/>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编制单位：锡林郭勒盟科学技术协会（本级）</w:t>
            </w:r>
          </w:p>
        </w:tc>
        <w:tc>
          <w:tcPr>
            <w:tcW w:w="2358"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1328" w:type="dxa"/>
            <w:shd w:val="clear" w:color="auto" w:fill="auto"/>
            <w:vAlign w:val="center"/>
          </w:tcPr>
          <w:p>
            <w:pPr>
              <w:rPr>
                <w:rFonts w:hint="eastAsia" w:ascii="宋体" w:hAnsi="宋体" w:eastAsia="宋体" w:cs="宋体"/>
                <w:i w:val="0"/>
                <w:color w:val="000000"/>
                <w:sz w:val="22"/>
                <w:szCs w:val="22"/>
                <w:u w:val="none"/>
              </w:rPr>
            </w:pPr>
          </w:p>
        </w:tc>
        <w:tc>
          <w:tcPr>
            <w:tcW w:w="737" w:type="dxa"/>
            <w:shd w:val="clear" w:color="auto" w:fill="auto"/>
            <w:vAlign w:val="center"/>
          </w:tcPr>
          <w:p>
            <w:pPr>
              <w:rPr>
                <w:rFonts w:hint="eastAsia" w:ascii="宋体" w:hAnsi="宋体" w:eastAsia="宋体" w:cs="宋体"/>
                <w:i w:val="0"/>
                <w:color w:val="000000"/>
                <w:sz w:val="22"/>
                <w:szCs w:val="22"/>
                <w:u w:val="none"/>
              </w:rPr>
            </w:pPr>
          </w:p>
        </w:tc>
        <w:tc>
          <w:tcPr>
            <w:tcW w:w="4406" w:type="dxa"/>
            <w:gridSpan w:val="2"/>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科目代码</w:t>
            </w:r>
          </w:p>
        </w:tc>
        <w:tc>
          <w:tcPr>
            <w:tcW w:w="235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327"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决算数</w:t>
            </w:r>
          </w:p>
        </w:tc>
        <w:tc>
          <w:tcPr>
            <w:tcW w:w="737"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科目代码</w:t>
            </w:r>
          </w:p>
        </w:tc>
        <w:tc>
          <w:tcPr>
            <w:tcW w:w="235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32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决算数</w:t>
            </w:r>
          </w:p>
        </w:tc>
        <w:tc>
          <w:tcPr>
            <w:tcW w:w="737"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科目代码</w:t>
            </w:r>
          </w:p>
        </w:tc>
        <w:tc>
          <w:tcPr>
            <w:tcW w:w="304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361"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工资福利支出</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30228</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工会经费</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资本性支出</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30101</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基本工资</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30229</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福利费</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31001</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房屋建筑物购建</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30102</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津贴补贴</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30231</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公务用车运行维护费</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31002</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办公设备购置</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30103</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奖金</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30239</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其他交通费用</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2.71</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31003</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专用设备购置</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30106</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伙食补助费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30240</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税金及附加费用</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31005</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基础设施建设</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30107</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绩效工资</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30299</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其他商品和服务支出</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14.46</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31006</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大型修缮</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30108</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机关事业单位基本养老保险缴费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对个人和家庭的补助</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31007</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信息网络及软件购置更新</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30109</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职业年金缴费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30301</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离休费</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31008</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物资储备</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30110</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职工基本医疗保险缴费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30302</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退休费</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31009</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土地补偿</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30111</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公务员医疗补助缴费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30303</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退职（役）费</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31010</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安置补助</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30112</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其他社会保障缴费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30304</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抚恤金</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31011</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地上附着物和青苗补偿</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30113</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住房公积金</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30305</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生活补助</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31012</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拆迁补偿</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30114</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医疗费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30306</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救济费</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31013</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公务用车购置</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30199</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其他工资福利支出</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30307</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医疗费补助</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31019</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其他交通工具购置</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商品和服务支出</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69.34</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30308</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助学金</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31021</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文物和陈列品购置</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30201</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办公费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13.44</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30309</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奖励金</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31022</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无形资产购置</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30202</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印刷费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1.14</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30310</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个人农业生产补贴</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31099</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其他资本性支出</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30203</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咨询费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30311</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代缴社会保险费</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311</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对企业补助（基本建设）</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30204</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手续费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30399</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其他对个人和家庭的补助</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31101</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资本金注入</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30205</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水费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债务利息及费用支出</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31199</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其他对企业补助</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30206</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电费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30701</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国内债务付息</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对企业补助</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30207</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邮电费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0.19</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30702</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国外债务付息</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31201</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资本金注入</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30208</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取暖费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30703</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国内债务发行费用</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31203</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政府投资基金股权投资</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30209</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物业管理费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30704</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国外债务发行费用</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31204</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费用补贴</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30211</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差旅费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11.25</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资本性支出（基本建设）</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31205</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利息补贴</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30212</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因公出国（境）费用</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30901</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房屋建筑物购建</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31299</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其他对企业补助</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30213</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维修（护）费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30902</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办公设备购置</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313</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对社会保障基金补助</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30214</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租赁费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30903</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专用设备购置</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31302</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对社会保险基金补助</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30215</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会议费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8.06</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30905</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基础设施建设</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31303</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补充全国社会保障基金</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30216</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培训费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0.52</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30906</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大型修缮</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31304</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对机关事业单位职业年金的补助</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30217</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公务接待费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30907</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信息网络及软件购置更新</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其他支出</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30218</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专用材料费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6.23</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30908</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物资储备</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39907</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国家赔偿费用支出</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30224</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被装购置费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30913</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公务用车购置</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39908</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对民间非营利组织和群众性自治组织补贴</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30225</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专用燃料费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30919</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其他交通工具购置</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39909</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经常性赠与</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30226</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劳务费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6.52</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30921</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文物和陈列品购置</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39910</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资本性赠与</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30227</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委托业务费</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4.82</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30922</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无形资产购置</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39999</w:t>
            </w:r>
          </w:p>
        </w:tc>
        <w:tc>
          <w:tcPr>
            <w:tcW w:w="30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其他支出</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　</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　</w:t>
            </w:r>
          </w:p>
        </w:tc>
        <w:tc>
          <w:tcPr>
            <w:tcW w:w="132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0.00</w:t>
            </w:r>
          </w:p>
        </w:tc>
        <w:tc>
          <w:tcPr>
            <w:tcW w:w="7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30999</w:t>
            </w:r>
          </w:p>
        </w:tc>
        <w:tc>
          <w:tcPr>
            <w:tcW w:w="2358"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其他基本建设支出</w:t>
            </w:r>
          </w:p>
        </w:tc>
        <w:tc>
          <w:tcPr>
            <w:tcW w:w="13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782"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合    计</w:t>
            </w:r>
          </w:p>
        </w:tc>
        <w:tc>
          <w:tcPr>
            <w:tcW w:w="136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13988" w:type="dxa"/>
            <w:gridSpan w:val="9"/>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注：1.本表反映部门本年度一般公共预算财政拨款项目支出明细情况。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13988" w:type="dxa"/>
            <w:gridSpan w:val="9"/>
            <w:shd w:val="clear" w:color="auto" w:fill="auto"/>
            <w:vAlign w:val="center"/>
          </w:tcPr>
          <w:p>
            <w:pPr>
              <w:jc w:val="left"/>
              <w:rPr>
                <w:rFonts w:hint="default" w:ascii="Calibri" w:hAnsi="Calibri" w:eastAsia="宋体" w:cs="Calibri"/>
                <w:i w:val="0"/>
                <w:color w:val="000000"/>
                <w:sz w:val="24"/>
                <w:szCs w:val="24"/>
                <w:u w:val="none"/>
              </w:rPr>
            </w:pPr>
          </w:p>
        </w:tc>
      </w:tr>
    </w:tbl>
    <w:p>
      <w:pPr>
        <w:pStyle w:val="10"/>
        <w:ind w:left="0" w:leftChars="0" w:firstLine="0" w:firstLineChars="0"/>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506"/>
        <w:gridCol w:w="31"/>
        <w:gridCol w:w="59"/>
        <w:gridCol w:w="5211"/>
        <w:gridCol w:w="2241"/>
        <w:gridCol w:w="1003"/>
        <w:gridCol w:w="997"/>
        <w:gridCol w:w="997"/>
        <w:gridCol w:w="999"/>
        <w:gridCol w:w="9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13988" w:type="dxa"/>
            <w:gridSpan w:val="10"/>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1506" w:type="dxa"/>
            <w:shd w:val="clear" w:color="auto" w:fill="auto"/>
            <w:vAlign w:val="center"/>
          </w:tcPr>
          <w:p>
            <w:pPr>
              <w:rPr>
                <w:rFonts w:hint="eastAsia" w:ascii="宋体" w:hAnsi="宋体" w:eastAsia="宋体" w:cs="宋体"/>
                <w:i w:val="0"/>
                <w:color w:val="000000"/>
                <w:sz w:val="22"/>
                <w:szCs w:val="22"/>
                <w:u w:val="none"/>
              </w:rPr>
            </w:pPr>
          </w:p>
        </w:tc>
        <w:tc>
          <w:tcPr>
            <w:tcW w:w="90" w:type="dxa"/>
            <w:gridSpan w:val="2"/>
            <w:shd w:val="clear" w:color="auto" w:fill="auto"/>
            <w:vAlign w:val="center"/>
          </w:tcPr>
          <w:p>
            <w:pPr>
              <w:rPr>
                <w:rFonts w:hint="eastAsia" w:ascii="宋体" w:hAnsi="宋体" w:eastAsia="宋体" w:cs="宋体"/>
                <w:i w:val="0"/>
                <w:color w:val="000000"/>
                <w:sz w:val="22"/>
                <w:szCs w:val="22"/>
                <w:u w:val="none"/>
              </w:rPr>
            </w:pPr>
          </w:p>
        </w:tc>
        <w:tc>
          <w:tcPr>
            <w:tcW w:w="5211" w:type="dxa"/>
            <w:shd w:val="clear" w:color="auto" w:fill="auto"/>
            <w:vAlign w:val="center"/>
          </w:tcPr>
          <w:p>
            <w:pPr>
              <w:rPr>
                <w:rFonts w:hint="eastAsia" w:ascii="宋体" w:hAnsi="宋体" w:eastAsia="宋体" w:cs="宋体"/>
                <w:i w:val="0"/>
                <w:color w:val="000000"/>
                <w:sz w:val="22"/>
                <w:szCs w:val="22"/>
                <w:u w:val="none"/>
              </w:rPr>
            </w:pPr>
          </w:p>
        </w:tc>
        <w:tc>
          <w:tcPr>
            <w:tcW w:w="2241" w:type="dxa"/>
            <w:shd w:val="clear" w:color="auto" w:fill="auto"/>
            <w:vAlign w:val="center"/>
          </w:tcPr>
          <w:p>
            <w:pPr>
              <w:rPr>
                <w:rFonts w:hint="eastAsia" w:ascii="宋体" w:hAnsi="宋体" w:eastAsia="宋体" w:cs="宋体"/>
                <w:i w:val="0"/>
                <w:color w:val="000000"/>
                <w:sz w:val="22"/>
                <w:szCs w:val="22"/>
                <w:u w:val="none"/>
              </w:rPr>
            </w:pPr>
          </w:p>
        </w:tc>
        <w:tc>
          <w:tcPr>
            <w:tcW w:w="1003" w:type="dxa"/>
            <w:shd w:val="clear" w:color="auto" w:fill="auto"/>
            <w:vAlign w:val="center"/>
          </w:tcPr>
          <w:p>
            <w:pPr>
              <w:rPr>
                <w:rFonts w:hint="eastAsia" w:ascii="宋体" w:hAnsi="宋体" w:eastAsia="宋体" w:cs="宋体"/>
                <w:i w:val="0"/>
                <w:color w:val="000000"/>
                <w:sz w:val="22"/>
                <w:szCs w:val="22"/>
                <w:u w:val="none"/>
              </w:rPr>
            </w:pPr>
          </w:p>
        </w:tc>
        <w:tc>
          <w:tcPr>
            <w:tcW w:w="997" w:type="dxa"/>
            <w:shd w:val="clear" w:color="auto" w:fill="auto"/>
            <w:vAlign w:val="center"/>
          </w:tcPr>
          <w:p>
            <w:pPr>
              <w:rPr>
                <w:rFonts w:hint="eastAsia" w:ascii="宋体" w:hAnsi="宋体" w:eastAsia="宋体" w:cs="宋体"/>
                <w:i w:val="0"/>
                <w:color w:val="000000"/>
                <w:sz w:val="22"/>
                <w:szCs w:val="22"/>
                <w:u w:val="none"/>
              </w:rPr>
            </w:pPr>
          </w:p>
        </w:tc>
        <w:tc>
          <w:tcPr>
            <w:tcW w:w="2940" w:type="dxa"/>
            <w:gridSpan w:val="3"/>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公开08表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6807" w:type="dxa"/>
            <w:gridSpan w:val="4"/>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编制单位：锡林郭勒盟科学技术协会（本级）</w:t>
            </w:r>
          </w:p>
        </w:tc>
        <w:tc>
          <w:tcPr>
            <w:tcW w:w="3244" w:type="dxa"/>
            <w:gridSpan w:val="2"/>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997" w:type="dxa"/>
            <w:shd w:val="clear" w:color="auto" w:fill="auto"/>
            <w:vAlign w:val="center"/>
          </w:tcPr>
          <w:p>
            <w:pPr>
              <w:rPr>
                <w:rFonts w:hint="eastAsia" w:ascii="宋体" w:hAnsi="宋体" w:eastAsia="宋体" w:cs="宋体"/>
                <w:i w:val="0"/>
                <w:color w:val="000000"/>
                <w:sz w:val="22"/>
                <w:szCs w:val="22"/>
                <w:u w:val="none"/>
              </w:rPr>
            </w:pPr>
          </w:p>
        </w:tc>
        <w:tc>
          <w:tcPr>
            <w:tcW w:w="2940" w:type="dxa"/>
            <w:gridSpan w:val="3"/>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8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2241"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年初结转和结余</w:t>
            </w:r>
          </w:p>
        </w:tc>
        <w:tc>
          <w:tcPr>
            <w:tcW w:w="1003"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本年收入</w:t>
            </w:r>
          </w:p>
        </w:tc>
        <w:tc>
          <w:tcPr>
            <w:tcW w:w="2993" w:type="dxa"/>
            <w:gridSpan w:val="3"/>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本年支出</w:t>
            </w:r>
          </w:p>
        </w:tc>
        <w:tc>
          <w:tcPr>
            <w:tcW w:w="944"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537" w:type="dxa"/>
            <w:gridSpan w:val="2"/>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支出功能分类科目代码</w:t>
            </w:r>
          </w:p>
        </w:tc>
        <w:tc>
          <w:tcPr>
            <w:tcW w:w="5270" w:type="dxa"/>
            <w:gridSpan w:val="2"/>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2241"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0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7"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小计</w:t>
            </w:r>
          </w:p>
        </w:tc>
        <w:tc>
          <w:tcPr>
            <w:tcW w:w="997"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基本支出</w:t>
            </w:r>
          </w:p>
        </w:tc>
        <w:tc>
          <w:tcPr>
            <w:tcW w:w="999"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项目支出</w:t>
            </w:r>
          </w:p>
        </w:tc>
        <w:tc>
          <w:tcPr>
            <w:tcW w:w="94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537"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270"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241"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0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9"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4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537"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270"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241"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0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9"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4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6807"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栏次</w:t>
            </w:r>
          </w:p>
        </w:tc>
        <w:tc>
          <w:tcPr>
            <w:tcW w:w="2241"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c>
          <w:tcPr>
            <w:tcW w:w="100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99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c>
          <w:tcPr>
            <w:tcW w:w="99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w:t>
            </w:r>
          </w:p>
        </w:tc>
        <w:tc>
          <w:tcPr>
            <w:tcW w:w="99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w:t>
            </w:r>
          </w:p>
        </w:tc>
        <w:tc>
          <w:tcPr>
            <w:tcW w:w="94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807"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合计</w:t>
            </w:r>
          </w:p>
        </w:tc>
        <w:tc>
          <w:tcPr>
            <w:tcW w:w="224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00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99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99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9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94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37" w:type="dxa"/>
            <w:gridSpan w:val="2"/>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5270" w:type="dxa"/>
            <w:gridSpan w:val="2"/>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2241"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0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4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13988" w:type="dxa"/>
            <w:gridSpan w:val="10"/>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注：1.本表反映部门本年度政府性基金预算财政拨款收入、支出及结转和结余情况。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13988" w:type="dxa"/>
            <w:gridSpan w:val="10"/>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2.政府性基金预算财政拨款收入支出决算表如为空表，合计数需填0，并在本表下方说明“本部门（单位）无政府性基金预算财政拨款收、支、余。”。</w:t>
            </w:r>
          </w:p>
        </w:tc>
      </w:tr>
    </w:tbl>
    <w:p>
      <w:pPr>
        <w:pStyle w:val="10"/>
        <w:ind w:left="0" w:leftChars="0" w:firstLine="0" w:firstLineChars="0"/>
      </w:pPr>
    </w:p>
    <w:p>
      <w:pPr>
        <w:pStyle w:val="10"/>
        <w:ind w:left="0" w:leftChars="0" w:firstLine="0" w:firstLineChars="0"/>
        <w:rPr>
          <w:rFonts w:hint="eastAsia" w:ascii="Calibri" w:hAnsi="Calibri" w:cs="Calibri"/>
          <w:i w:val="0"/>
          <w:color w:val="000000"/>
          <w:kern w:val="0"/>
          <w:sz w:val="22"/>
          <w:szCs w:val="22"/>
          <w:u w:val="none"/>
          <w:lang w:val="en-US" w:eastAsia="zh-CN" w:bidi="ar"/>
        </w:rPr>
        <w:sectPr>
          <w:pgSz w:w="16838" w:h="11906" w:orient="landscape"/>
          <w:pgMar w:top="1083" w:right="1440" w:bottom="1083" w:left="1440" w:header="0" w:footer="720" w:gutter="0"/>
          <w:cols w:space="425" w:num="1"/>
          <w:docGrid w:type="lines" w:linePitch="312" w:charSpace="0"/>
        </w:sectPr>
      </w:pPr>
      <w:r>
        <w:rPr>
          <w:rFonts w:hint="default" w:ascii="Calibri" w:hAnsi="Calibri" w:eastAsia="宋体" w:cs="Calibri"/>
          <w:i w:val="0"/>
          <w:color w:val="000000"/>
          <w:kern w:val="0"/>
          <w:sz w:val="22"/>
          <w:szCs w:val="22"/>
          <w:u w:val="none"/>
          <w:lang w:val="en-US" w:eastAsia="zh-CN" w:bidi="ar"/>
        </w:rPr>
        <w:t>本单位无政府性基金预算财政拨款收、支、余</w:t>
      </w:r>
      <w:r>
        <w:rPr>
          <w:rFonts w:hint="eastAsia" w:ascii="Calibri" w:hAnsi="Calibri" w:cs="Calibri"/>
          <w:i w:val="0"/>
          <w:color w:val="000000"/>
          <w:kern w:val="0"/>
          <w:sz w:val="22"/>
          <w:szCs w:val="22"/>
          <w:u w:val="none"/>
          <w:lang w:val="en-US" w:eastAsia="zh-CN" w:bidi="ar"/>
        </w:rPr>
        <w:t>。</w:t>
      </w: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72"/>
        <w:gridCol w:w="26"/>
        <w:gridCol w:w="64"/>
        <w:gridCol w:w="4008"/>
        <w:gridCol w:w="1849"/>
        <w:gridCol w:w="769"/>
        <w:gridCol w:w="1723"/>
        <w:gridCol w:w="767"/>
        <w:gridCol w:w="1722"/>
        <w:gridCol w:w="17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10"/>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1272" w:type="dxa"/>
            <w:shd w:val="clear" w:color="auto" w:fill="auto"/>
            <w:vAlign w:val="center"/>
          </w:tcPr>
          <w:p>
            <w:pPr>
              <w:rPr>
                <w:rFonts w:hint="eastAsia" w:ascii="宋体" w:hAnsi="宋体" w:eastAsia="宋体" w:cs="宋体"/>
                <w:i w:val="0"/>
                <w:color w:val="000000"/>
                <w:sz w:val="22"/>
                <w:szCs w:val="22"/>
                <w:u w:val="none"/>
              </w:rPr>
            </w:pPr>
          </w:p>
        </w:tc>
        <w:tc>
          <w:tcPr>
            <w:tcW w:w="90" w:type="dxa"/>
            <w:gridSpan w:val="2"/>
            <w:shd w:val="clear" w:color="auto" w:fill="auto"/>
            <w:vAlign w:val="center"/>
          </w:tcPr>
          <w:p>
            <w:pPr>
              <w:rPr>
                <w:rFonts w:hint="eastAsia" w:ascii="宋体" w:hAnsi="宋体" w:eastAsia="宋体" w:cs="宋体"/>
                <w:i w:val="0"/>
                <w:color w:val="000000"/>
                <w:sz w:val="22"/>
                <w:szCs w:val="22"/>
                <w:u w:val="none"/>
              </w:rPr>
            </w:pPr>
          </w:p>
        </w:tc>
        <w:tc>
          <w:tcPr>
            <w:tcW w:w="4008" w:type="dxa"/>
            <w:shd w:val="clear" w:color="auto" w:fill="auto"/>
            <w:vAlign w:val="center"/>
          </w:tcPr>
          <w:p>
            <w:pPr>
              <w:rPr>
                <w:rFonts w:hint="eastAsia" w:ascii="宋体" w:hAnsi="宋体" w:eastAsia="宋体" w:cs="宋体"/>
                <w:i w:val="0"/>
                <w:color w:val="000000"/>
                <w:sz w:val="22"/>
                <w:szCs w:val="22"/>
                <w:u w:val="none"/>
              </w:rPr>
            </w:pPr>
          </w:p>
        </w:tc>
        <w:tc>
          <w:tcPr>
            <w:tcW w:w="1849" w:type="dxa"/>
            <w:shd w:val="clear" w:color="auto" w:fill="auto"/>
            <w:vAlign w:val="center"/>
          </w:tcPr>
          <w:p>
            <w:pPr>
              <w:rPr>
                <w:rFonts w:hint="eastAsia" w:ascii="宋体" w:hAnsi="宋体" w:eastAsia="宋体" w:cs="宋体"/>
                <w:i w:val="0"/>
                <w:color w:val="000000"/>
                <w:sz w:val="22"/>
                <w:szCs w:val="22"/>
                <w:u w:val="none"/>
              </w:rPr>
            </w:pPr>
          </w:p>
        </w:tc>
        <w:tc>
          <w:tcPr>
            <w:tcW w:w="769" w:type="dxa"/>
            <w:shd w:val="clear" w:color="auto" w:fill="auto"/>
            <w:vAlign w:val="center"/>
          </w:tcPr>
          <w:p>
            <w:pPr>
              <w:rPr>
                <w:rFonts w:hint="eastAsia" w:ascii="宋体" w:hAnsi="宋体" w:eastAsia="宋体" w:cs="宋体"/>
                <w:i w:val="0"/>
                <w:color w:val="000000"/>
                <w:sz w:val="22"/>
                <w:szCs w:val="22"/>
                <w:u w:val="none"/>
              </w:rPr>
            </w:pPr>
          </w:p>
        </w:tc>
        <w:tc>
          <w:tcPr>
            <w:tcW w:w="1723" w:type="dxa"/>
            <w:shd w:val="clear" w:color="auto" w:fill="auto"/>
            <w:vAlign w:val="center"/>
          </w:tcPr>
          <w:p>
            <w:pPr>
              <w:rPr>
                <w:rFonts w:hint="eastAsia" w:ascii="宋体" w:hAnsi="宋体" w:eastAsia="宋体" w:cs="宋体"/>
                <w:i w:val="0"/>
                <w:color w:val="000000"/>
                <w:sz w:val="22"/>
                <w:szCs w:val="22"/>
                <w:u w:val="none"/>
              </w:rPr>
            </w:pPr>
          </w:p>
        </w:tc>
        <w:tc>
          <w:tcPr>
            <w:tcW w:w="767" w:type="dxa"/>
            <w:shd w:val="clear" w:color="auto" w:fill="auto"/>
            <w:vAlign w:val="center"/>
          </w:tcPr>
          <w:p>
            <w:pPr>
              <w:rPr>
                <w:rFonts w:hint="eastAsia" w:ascii="宋体" w:hAnsi="宋体" w:eastAsia="宋体" w:cs="宋体"/>
                <w:i w:val="0"/>
                <w:color w:val="000000"/>
                <w:sz w:val="22"/>
                <w:szCs w:val="22"/>
                <w:u w:val="none"/>
              </w:rPr>
            </w:pPr>
          </w:p>
        </w:tc>
        <w:tc>
          <w:tcPr>
            <w:tcW w:w="1722" w:type="dxa"/>
            <w:shd w:val="clear" w:color="auto" w:fill="auto"/>
            <w:vAlign w:val="center"/>
          </w:tcPr>
          <w:p>
            <w:pPr>
              <w:rPr>
                <w:rFonts w:hint="eastAsia" w:ascii="宋体" w:hAnsi="宋体" w:eastAsia="宋体" w:cs="宋体"/>
                <w:i w:val="0"/>
                <w:color w:val="000000"/>
                <w:sz w:val="22"/>
                <w:szCs w:val="22"/>
                <w:u w:val="none"/>
              </w:rPr>
            </w:pPr>
          </w:p>
        </w:tc>
        <w:tc>
          <w:tcPr>
            <w:tcW w:w="178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公开09表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5370" w:type="dxa"/>
            <w:gridSpan w:val="4"/>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编制单位：锡林郭勒盟科学技术协会（本级）</w:t>
            </w:r>
          </w:p>
        </w:tc>
        <w:tc>
          <w:tcPr>
            <w:tcW w:w="2618" w:type="dxa"/>
            <w:gridSpan w:val="2"/>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1723" w:type="dxa"/>
            <w:shd w:val="clear" w:color="auto" w:fill="auto"/>
            <w:vAlign w:val="center"/>
          </w:tcPr>
          <w:p>
            <w:pPr>
              <w:rPr>
                <w:rFonts w:hint="eastAsia" w:ascii="宋体" w:hAnsi="宋体" w:eastAsia="宋体" w:cs="宋体"/>
                <w:i w:val="0"/>
                <w:color w:val="000000"/>
                <w:sz w:val="22"/>
                <w:szCs w:val="22"/>
                <w:u w:val="none"/>
              </w:rPr>
            </w:pPr>
          </w:p>
        </w:tc>
        <w:tc>
          <w:tcPr>
            <w:tcW w:w="767" w:type="dxa"/>
            <w:shd w:val="clear" w:color="auto" w:fill="auto"/>
            <w:vAlign w:val="center"/>
          </w:tcPr>
          <w:p>
            <w:pPr>
              <w:rPr>
                <w:rFonts w:hint="eastAsia" w:ascii="宋体" w:hAnsi="宋体" w:eastAsia="宋体" w:cs="宋体"/>
                <w:i w:val="0"/>
                <w:color w:val="000000"/>
                <w:sz w:val="22"/>
                <w:szCs w:val="22"/>
                <w:u w:val="none"/>
              </w:rPr>
            </w:pPr>
          </w:p>
        </w:tc>
        <w:tc>
          <w:tcPr>
            <w:tcW w:w="1722" w:type="dxa"/>
            <w:shd w:val="clear" w:color="auto" w:fill="auto"/>
            <w:vAlign w:val="center"/>
          </w:tcPr>
          <w:p>
            <w:pPr>
              <w:rPr>
                <w:rFonts w:hint="eastAsia" w:ascii="宋体" w:hAnsi="宋体" w:eastAsia="宋体" w:cs="宋体"/>
                <w:i w:val="0"/>
                <w:color w:val="000000"/>
                <w:sz w:val="22"/>
                <w:szCs w:val="22"/>
                <w:u w:val="none"/>
              </w:rPr>
            </w:pPr>
          </w:p>
        </w:tc>
        <w:tc>
          <w:tcPr>
            <w:tcW w:w="178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537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184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年初结转和结余</w:t>
            </w:r>
          </w:p>
        </w:tc>
        <w:tc>
          <w:tcPr>
            <w:tcW w:w="76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本年收入</w:t>
            </w:r>
          </w:p>
        </w:tc>
        <w:tc>
          <w:tcPr>
            <w:tcW w:w="4212" w:type="dxa"/>
            <w:gridSpan w:val="3"/>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本年支出</w:t>
            </w:r>
          </w:p>
        </w:tc>
        <w:tc>
          <w:tcPr>
            <w:tcW w:w="1788"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298" w:type="dxa"/>
            <w:gridSpan w:val="2"/>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支出功能分类科目代码</w:t>
            </w:r>
          </w:p>
        </w:tc>
        <w:tc>
          <w:tcPr>
            <w:tcW w:w="4072" w:type="dxa"/>
            <w:gridSpan w:val="2"/>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84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6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23"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合计</w:t>
            </w:r>
          </w:p>
        </w:tc>
        <w:tc>
          <w:tcPr>
            <w:tcW w:w="767"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基本支出</w:t>
            </w:r>
          </w:p>
        </w:tc>
        <w:tc>
          <w:tcPr>
            <w:tcW w:w="1722"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项目支出</w:t>
            </w:r>
          </w:p>
        </w:tc>
        <w:tc>
          <w:tcPr>
            <w:tcW w:w="1788"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298"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4072"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84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6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23"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6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22"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88"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98"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4072"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84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6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23"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6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22"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88"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5370"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184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76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7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76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172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178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370"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合计</w:t>
            </w:r>
          </w:p>
        </w:tc>
        <w:tc>
          <w:tcPr>
            <w:tcW w:w="18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6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72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6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72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7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98" w:type="dxa"/>
            <w:gridSpan w:val="2"/>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4072" w:type="dxa"/>
            <w:gridSpan w:val="2"/>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84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6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72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6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72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788"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3988" w:type="dxa"/>
            <w:gridSpan w:val="10"/>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注：1.本表反映部门本年度国有资本经营预算财政拨款支出情况。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13988" w:type="dxa"/>
            <w:gridSpan w:val="10"/>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2.国有资本经营预算财政拨款支出决算表如为空表，合计数需填0，并在本表下方说明“本部门（单位）无国有资本经营预算财政拨款收、支、余。”。</w:t>
            </w:r>
          </w:p>
        </w:tc>
      </w:tr>
    </w:tbl>
    <w:p>
      <w:pPr>
        <w:pStyle w:val="10"/>
        <w:ind w:left="0" w:leftChars="0" w:firstLine="0" w:firstLineChars="0"/>
        <w:rPr>
          <w:rFonts w:hint="eastAsia" w:ascii="Calibri" w:hAnsi="Calibri" w:cs="Calibri"/>
          <w:i w:val="0"/>
          <w:color w:val="000000"/>
          <w:kern w:val="0"/>
          <w:sz w:val="22"/>
          <w:szCs w:val="22"/>
          <w:u w:val="none"/>
          <w:lang w:val="en-US" w:eastAsia="zh-CN" w:bidi="ar"/>
        </w:rPr>
      </w:pPr>
    </w:p>
    <w:p>
      <w:pPr>
        <w:pStyle w:val="10"/>
        <w:ind w:left="0" w:leftChars="0" w:firstLine="0" w:firstLineChars="0"/>
        <w:rPr>
          <w:rFonts w:hint="default" w:ascii="Calibri" w:hAnsi="Calibri" w:eastAsia="宋体" w:cs="Calibri"/>
          <w:i w:val="0"/>
          <w:color w:val="000000"/>
          <w:kern w:val="0"/>
          <w:sz w:val="24"/>
          <w:szCs w:val="24"/>
          <w:u w:val="none"/>
          <w:lang w:val="en-US" w:eastAsia="zh-CN" w:bidi="ar"/>
        </w:rPr>
        <w:sectPr>
          <w:pgSz w:w="16838" w:h="11906" w:orient="landscape"/>
          <w:pgMar w:top="1083" w:right="1440" w:bottom="1083" w:left="1440" w:header="0" w:footer="720" w:gutter="0"/>
          <w:cols w:space="425" w:num="1"/>
          <w:docGrid w:type="lines" w:linePitch="312" w:charSpace="0"/>
        </w:sectPr>
      </w:pPr>
      <w:r>
        <w:rPr>
          <w:rFonts w:hint="default" w:ascii="Calibri" w:hAnsi="Calibri" w:eastAsia="宋体" w:cs="Calibri"/>
          <w:i w:val="0"/>
          <w:color w:val="000000"/>
          <w:kern w:val="0"/>
          <w:sz w:val="24"/>
          <w:szCs w:val="24"/>
          <w:u w:val="none"/>
          <w:lang w:val="en-US" w:eastAsia="zh-CN" w:bidi="ar"/>
        </w:rPr>
        <w:t>本单位无国有资本经营预算财政拨款收、支、余。</w:t>
      </w: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907"/>
        <w:gridCol w:w="754"/>
        <w:gridCol w:w="1608"/>
        <w:gridCol w:w="734"/>
        <w:gridCol w:w="1649"/>
        <w:gridCol w:w="734"/>
        <w:gridCol w:w="734"/>
        <w:gridCol w:w="38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8"/>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4661" w:type="dxa"/>
            <w:gridSpan w:val="2"/>
            <w:shd w:val="clear" w:color="auto" w:fill="auto"/>
            <w:vAlign w:val="center"/>
          </w:tcPr>
          <w:p>
            <w:pPr>
              <w:rPr>
                <w:rFonts w:hint="eastAsia" w:ascii="宋体" w:hAnsi="宋体" w:eastAsia="宋体" w:cs="宋体"/>
                <w:i w:val="0"/>
                <w:color w:val="000000"/>
                <w:sz w:val="22"/>
                <w:szCs w:val="22"/>
                <w:u w:val="none"/>
              </w:rPr>
            </w:pPr>
          </w:p>
        </w:tc>
        <w:tc>
          <w:tcPr>
            <w:tcW w:w="1608" w:type="dxa"/>
            <w:shd w:val="clear" w:color="auto" w:fill="auto"/>
            <w:vAlign w:val="center"/>
          </w:tcPr>
          <w:p>
            <w:pPr>
              <w:rPr>
                <w:rFonts w:hint="eastAsia" w:ascii="宋体" w:hAnsi="宋体" w:eastAsia="宋体" w:cs="宋体"/>
                <w:i w:val="0"/>
                <w:color w:val="000000"/>
                <w:sz w:val="22"/>
                <w:szCs w:val="22"/>
                <w:u w:val="none"/>
              </w:rPr>
            </w:pPr>
          </w:p>
        </w:tc>
        <w:tc>
          <w:tcPr>
            <w:tcW w:w="734" w:type="dxa"/>
            <w:shd w:val="clear" w:color="auto" w:fill="auto"/>
            <w:vAlign w:val="center"/>
          </w:tcPr>
          <w:p>
            <w:pPr>
              <w:rPr>
                <w:rFonts w:hint="eastAsia" w:ascii="宋体" w:hAnsi="宋体" w:eastAsia="宋体" w:cs="宋体"/>
                <w:i w:val="0"/>
                <w:color w:val="000000"/>
                <w:sz w:val="22"/>
                <w:szCs w:val="22"/>
                <w:u w:val="none"/>
              </w:rPr>
            </w:pPr>
          </w:p>
        </w:tc>
        <w:tc>
          <w:tcPr>
            <w:tcW w:w="1649" w:type="dxa"/>
            <w:shd w:val="clear" w:color="auto" w:fill="auto"/>
            <w:vAlign w:val="center"/>
          </w:tcPr>
          <w:p>
            <w:pPr>
              <w:rPr>
                <w:rFonts w:hint="eastAsia" w:ascii="宋体" w:hAnsi="宋体" w:eastAsia="宋体" w:cs="宋体"/>
                <w:i w:val="0"/>
                <w:color w:val="000000"/>
                <w:sz w:val="22"/>
                <w:szCs w:val="22"/>
                <w:u w:val="none"/>
              </w:rPr>
            </w:pPr>
          </w:p>
        </w:tc>
        <w:tc>
          <w:tcPr>
            <w:tcW w:w="734" w:type="dxa"/>
            <w:shd w:val="clear" w:color="auto" w:fill="auto"/>
            <w:vAlign w:val="center"/>
          </w:tcPr>
          <w:p>
            <w:pPr>
              <w:rPr>
                <w:rFonts w:hint="eastAsia" w:ascii="宋体" w:hAnsi="宋体" w:eastAsia="宋体" w:cs="宋体"/>
                <w:i w:val="0"/>
                <w:color w:val="000000"/>
                <w:sz w:val="22"/>
                <w:szCs w:val="22"/>
                <w:u w:val="none"/>
              </w:rPr>
            </w:pPr>
          </w:p>
        </w:tc>
        <w:tc>
          <w:tcPr>
            <w:tcW w:w="734" w:type="dxa"/>
            <w:shd w:val="clear" w:color="auto" w:fill="auto"/>
            <w:vAlign w:val="center"/>
          </w:tcPr>
          <w:p>
            <w:pPr>
              <w:rPr>
                <w:rFonts w:hint="eastAsia" w:ascii="宋体" w:hAnsi="宋体" w:eastAsia="宋体" w:cs="宋体"/>
                <w:i w:val="0"/>
                <w:color w:val="000000"/>
                <w:sz w:val="22"/>
                <w:szCs w:val="22"/>
                <w:u w:val="none"/>
              </w:rPr>
            </w:pPr>
          </w:p>
        </w:tc>
        <w:tc>
          <w:tcPr>
            <w:tcW w:w="386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公开10表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6269" w:type="dxa"/>
            <w:gridSpan w:val="3"/>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编制单位：锡林郭勒盟科学技术协会（本级）</w:t>
            </w:r>
          </w:p>
        </w:tc>
        <w:tc>
          <w:tcPr>
            <w:tcW w:w="734" w:type="dxa"/>
            <w:shd w:val="clear" w:color="auto" w:fill="auto"/>
            <w:vAlign w:val="center"/>
          </w:tcPr>
          <w:p>
            <w:pPr>
              <w:rPr>
                <w:rFonts w:hint="eastAsia" w:ascii="宋体" w:hAnsi="宋体" w:eastAsia="宋体" w:cs="宋体"/>
                <w:i w:val="0"/>
                <w:color w:val="000000"/>
                <w:sz w:val="22"/>
                <w:szCs w:val="22"/>
                <w:u w:val="none"/>
              </w:rPr>
            </w:pPr>
          </w:p>
        </w:tc>
        <w:tc>
          <w:tcPr>
            <w:tcW w:w="1649"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734" w:type="dxa"/>
            <w:shd w:val="clear" w:color="auto" w:fill="auto"/>
            <w:vAlign w:val="center"/>
          </w:tcPr>
          <w:p>
            <w:pPr>
              <w:rPr>
                <w:rFonts w:hint="eastAsia" w:ascii="宋体" w:hAnsi="宋体" w:eastAsia="宋体" w:cs="宋体"/>
                <w:i w:val="0"/>
                <w:color w:val="000000"/>
                <w:sz w:val="22"/>
                <w:szCs w:val="22"/>
                <w:u w:val="none"/>
              </w:rPr>
            </w:pPr>
          </w:p>
        </w:tc>
        <w:tc>
          <w:tcPr>
            <w:tcW w:w="734" w:type="dxa"/>
            <w:shd w:val="clear" w:color="auto" w:fill="auto"/>
            <w:vAlign w:val="center"/>
          </w:tcPr>
          <w:p>
            <w:pPr>
              <w:rPr>
                <w:rFonts w:hint="eastAsia" w:ascii="宋体" w:hAnsi="宋体" w:eastAsia="宋体" w:cs="宋体"/>
                <w:i w:val="0"/>
                <w:color w:val="000000"/>
                <w:sz w:val="22"/>
                <w:szCs w:val="22"/>
                <w:u w:val="none"/>
              </w:rPr>
            </w:pPr>
          </w:p>
        </w:tc>
        <w:tc>
          <w:tcPr>
            <w:tcW w:w="386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754"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行次</w:t>
            </w:r>
          </w:p>
        </w:tc>
        <w:tc>
          <w:tcPr>
            <w:tcW w:w="3991" w:type="dxa"/>
            <w:gridSpan w:val="3"/>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财政拨款</w:t>
            </w:r>
          </w:p>
        </w:tc>
        <w:tc>
          <w:tcPr>
            <w:tcW w:w="5336" w:type="dxa"/>
            <w:gridSpan w:val="3"/>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其中：一般公共预算财政拨款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5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年初预算数</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全年预算数</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支出统计数</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年初预算数</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全年预算数</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支出统计数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  次</w:t>
            </w:r>
          </w:p>
        </w:tc>
        <w:tc>
          <w:tcPr>
            <w:tcW w:w="75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一、“三公”经费支出</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（一）支出合计</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1.80</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1.80</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1．因公出国（境）费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2．公务用车购置及运行维护费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6.50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6.50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（1）公务用车购置费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（2）公务用车运行维护费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6.50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6.50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3．公务接待费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0.50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0.50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（1）国内接待费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w:t>
            </w:r>
          </w:p>
        </w:tc>
        <w:tc>
          <w:tcPr>
            <w:tcW w:w="160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73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c>
          <w:tcPr>
            <w:tcW w:w="73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73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其中：外事接待费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w:t>
            </w:r>
          </w:p>
        </w:tc>
        <w:tc>
          <w:tcPr>
            <w:tcW w:w="160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73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73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（2）国（境）外接待费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（二）相关统计数</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1．因公出国（境）团组数（个）</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12</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2．因公出国（境）人次数（人）</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3．公务用车购置数（辆）</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4．公务用车保有量（辆）</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5．国内公务接待批次（个）</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16</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其中：外事接待批次（个）</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6．国内公务接待人次（人）</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其中：外事接待人次（人）</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7．国（境）外公务接待批次（个）</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8．国（境）外公务接待人次（人）</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13988" w:type="dxa"/>
            <w:gridSpan w:val="8"/>
            <w:shd w:val="clear" w:color="auto" w:fill="auto"/>
            <w:vAlign w:val="center"/>
          </w:tcPr>
          <w:p>
            <w:pPr>
              <w:jc w:val="left"/>
              <w:rPr>
                <w:rFonts w:hint="default" w:ascii="Calibri" w:hAnsi="Calibri" w:eastAsia="宋体" w:cs="Calibri"/>
                <w:i w:val="0"/>
                <w:color w:val="000000"/>
                <w:sz w:val="22"/>
                <w:szCs w:val="22"/>
                <w:u w:val="none"/>
              </w:rPr>
            </w:pPr>
          </w:p>
        </w:tc>
      </w:tr>
    </w:tbl>
    <w:p>
      <w:pPr>
        <w:pStyle w:val="10"/>
        <w:ind w:left="0" w:leftChars="0" w:firstLine="0" w:firstLineChars="0"/>
        <w:rPr>
          <w:rFonts w:hint="eastAsia" w:ascii="Calibri" w:hAnsi="Calibri" w:eastAsia="宋体" w:cs="Calibri"/>
          <w:i w:val="0"/>
          <w:color w:val="000000"/>
          <w:kern w:val="0"/>
          <w:sz w:val="24"/>
          <w:szCs w:val="24"/>
          <w:u w:val="none"/>
          <w:lang w:val="en-US" w:eastAsia="zh-CN" w:bidi="ar"/>
        </w:rPr>
      </w:pPr>
    </w:p>
    <w:p>
      <w:pPr>
        <w:pStyle w:val="10"/>
        <w:ind w:left="0" w:leftChars="0" w:firstLine="0" w:firstLineChars="0"/>
        <w:rPr>
          <w:rFonts w:hint="eastAsia" w:ascii="Calibri" w:hAnsi="Calibri" w:eastAsia="宋体" w:cs="Calibri"/>
          <w:i w:val="0"/>
          <w:color w:val="000000"/>
          <w:kern w:val="0"/>
          <w:sz w:val="24"/>
          <w:szCs w:val="24"/>
          <w:u w:val="none"/>
          <w:lang w:val="en-US" w:eastAsia="zh-CN" w:bidi="ar"/>
        </w:rPr>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438"/>
        <w:gridCol w:w="1112"/>
        <w:gridCol w:w="64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13988" w:type="dxa"/>
            <w:gridSpan w:val="3"/>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机构运行经费支出、国有资产占用情况及政府采购支出信息表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550" w:type="dxa"/>
            <w:gridSpan w:val="2"/>
            <w:shd w:val="clear" w:color="auto" w:fill="auto"/>
            <w:vAlign w:val="center"/>
          </w:tcPr>
          <w:p>
            <w:pPr>
              <w:rPr>
                <w:rFonts w:hint="eastAsia" w:ascii="宋体" w:hAnsi="宋体" w:eastAsia="宋体" w:cs="宋体"/>
                <w:i w:val="0"/>
                <w:color w:val="000000"/>
                <w:sz w:val="22"/>
                <w:szCs w:val="22"/>
                <w:u w:val="none"/>
              </w:rPr>
            </w:pPr>
          </w:p>
        </w:tc>
        <w:tc>
          <w:tcPr>
            <w:tcW w:w="643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公开11表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6438" w:type="dxa"/>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编制单位：锡林郭勒盟科学技术协会（本级）</w:t>
            </w:r>
          </w:p>
        </w:tc>
        <w:tc>
          <w:tcPr>
            <w:tcW w:w="1112"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643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  目</w:t>
            </w:r>
          </w:p>
        </w:tc>
        <w:tc>
          <w:tcPr>
            <w:tcW w:w="1112"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行次</w:t>
            </w:r>
          </w:p>
        </w:tc>
        <w:tc>
          <w:tcPr>
            <w:tcW w:w="64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统计数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  次</w:t>
            </w:r>
          </w:p>
        </w:tc>
        <w:tc>
          <w:tcPr>
            <w:tcW w:w="111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一、机关运行经费</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（一）行政单位</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（二）参照公务员法管理事业单位</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二、资产信息</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643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（一）车辆数合计（辆）</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1．副部（省）级及以上领导用车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2．主要负责人用车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3．机要通信用车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4．应急保障用车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5．执法执勤用车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6．特种专业技术用车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7．离退休干部服务用车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12</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8．其他用车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（二）单价100万元（含）以上设备（不含车辆）</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三、政府采购支出信息</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w:t>
            </w:r>
          </w:p>
        </w:tc>
        <w:tc>
          <w:tcPr>
            <w:tcW w:w="643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（一）政府采购支出合计</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16</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1．政府采购货物支出</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2．政府采购工程支出</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3．政府采购服务支出</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（二）政府采购授予中小企业合同金额</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其中：授予小微企业合同金额</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1.15</w:t>
            </w:r>
          </w:p>
        </w:tc>
      </w:tr>
    </w:tbl>
    <w:p>
      <w:pPr>
        <w:pStyle w:val="10"/>
        <w:ind w:left="0" w:leftChars="0" w:firstLine="0" w:firstLineChars="0"/>
        <w:rPr>
          <w:rFonts w:hint="eastAsia" w:ascii="Calibri" w:hAnsi="Calibri" w:eastAsia="宋体" w:cs="Calibri"/>
          <w:i w:val="0"/>
          <w:color w:val="000000"/>
          <w:kern w:val="0"/>
          <w:sz w:val="24"/>
          <w:szCs w:val="24"/>
          <w:u w:val="none"/>
          <w:lang w:val="en-US" w:eastAsia="zh-CN" w:bidi="ar"/>
        </w:rPr>
      </w:pPr>
    </w:p>
    <w:sectPr>
      <w:pgSz w:w="16838" w:h="11906" w:orient="landscape"/>
      <w:pgMar w:top="567" w:right="1440" w:bottom="567" w:left="1440" w:header="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fang_song_gb2312">
    <w:altName w:val="Segoe Print"/>
    <w:panose1 w:val="00000000000000000000"/>
    <w:charset w:val="00"/>
    <w:family w:val="auto"/>
    <w:pitch w:val="default"/>
    <w:sig w:usb0="00000000" w:usb1="00000000" w:usb2="00000000" w:usb3="00000000" w:csb0="00000000" w:csb1="00000000"/>
  </w:font>
  <w:font w:name="times_new_roman">
    <w:altName w:val="Segoe Print"/>
    <w:panose1 w:val="00000000000000000000"/>
    <w:charset w:val="00"/>
    <w:family w:val="auto"/>
    <w:pitch w:val="default"/>
    <w:sig w:usb0="00000000" w:usb1="00000000" w:usb2="00000000" w:usb3="00000000" w:csb0="00000000" w:csb1="00000000"/>
  </w:font>
  <w:font w:name="fang_zheng_xiao_biao_song_ti">
    <w:altName w:val="Segoe Print"/>
    <w:panose1 w:val="00000000000000000000"/>
    <w:charset w:val="00"/>
    <w:family w:val="auto"/>
    <w:pitch w:val="default"/>
    <w:sig w:usb0="00000000" w:usb1="00000000" w:usb2="00000000" w:usb3="00000000" w:csb0="00000000" w:csb1="00000000"/>
  </w:font>
  <w:font w:name="方正仿宋_GB2312">
    <w:altName w:val="仿宋"/>
    <w:panose1 w:val="02000000000000000000"/>
    <w:charset w:val="86"/>
    <w:family w:val="auto"/>
    <w:pitch w:val="default"/>
    <w:sig w:usb0="00000000" w:usb1="00000000" w:usb2="00000012"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ai_ti_gb2312">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ascii="宋体" w:hAnsi="宋体" w:eastAsia="宋体" w:cs="宋体"/>
        <w:sz w:val="18"/>
      </w:rPr>
      <w:fldChar w:fldCharType="begin"/>
    </w:r>
    <w:r>
      <w:rPr>
        <w:rFonts w:ascii="宋体" w:hAnsi="宋体" w:eastAsia="宋体" w:cs="宋体"/>
        <w:sz w:val="18"/>
      </w:rPr>
      <w:instrText xml:space="preserve"> PAGE </w:instrText>
    </w:r>
    <w:r>
      <w:rPr>
        <w:rFonts w:ascii="宋体" w:hAnsi="宋体" w:eastAsia="宋体" w:cs="宋体"/>
        <w:sz w:val="18"/>
      </w:rPr>
      <w:fldChar w:fldCharType="separate"/>
    </w:r>
    <w:r>
      <w:rPr>
        <w:rFonts w:ascii="宋体" w:hAnsi="宋体" w:eastAsia="宋体" w:cs="宋体"/>
        <w:sz w:val="18"/>
      </w:rPr>
      <w:t>1</w:t>
    </w:r>
    <w:r>
      <w:rPr>
        <w:rFonts w:ascii="宋体" w:hAnsi="宋体" w:eastAsia="宋体" w:cs="宋体"/>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 PAGE   \* MERGEFORMAT </w:instrText>
    </w:r>
    <w:r>
      <w:fldChar w:fldCharType="separate"/>
    </w:r>
    <w:r>
      <w:rPr>
        <w:lang w:val="zh-CN"/>
      </w:rPr>
      <w:t>24</w:t>
    </w:r>
    <w:r>
      <w:rPr>
        <w:lang w:val="zh-CN"/>
      </w:rPr>
      <w:fldChar w:fldCharType="end"/>
    </w:r>
  </w:p>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38EA2"/>
    <w:multiLevelType w:val="singleLevel"/>
    <w:tmpl w:val="0A238EA2"/>
    <w:lvl w:ilvl="0" w:tentative="0">
      <w:start w:val="1"/>
      <w:numFmt w:val="decimal"/>
      <w:suff w:val="nothing"/>
      <w:lvlText w:val="%1．"/>
      <w:lvlJc w:val="left"/>
      <w:pPr>
        <w:ind w:left="481"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HorizontalSpacing w:val="105"/>
  <w:drawingGridVerticalSpacing w:val="15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536"/>
    <w:rsid w:val="0000662F"/>
    <w:rsid w:val="00023E75"/>
    <w:rsid w:val="00033C6A"/>
    <w:rsid w:val="00063AC2"/>
    <w:rsid w:val="000774F0"/>
    <w:rsid w:val="0008308B"/>
    <w:rsid w:val="00097269"/>
    <w:rsid w:val="000A769F"/>
    <w:rsid w:val="000D3889"/>
    <w:rsid w:val="0010682D"/>
    <w:rsid w:val="001620BF"/>
    <w:rsid w:val="001814D4"/>
    <w:rsid w:val="00183373"/>
    <w:rsid w:val="001E7634"/>
    <w:rsid w:val="00204509"/>
    <w:rsid w:val="00225D2E"/>
    <w:rsid w:val="0023107E"/>
    <w:rsid w:val="00233241"/>
    <w:rsid w:val="00297C52"/>
    <w:rsid w:val="00300987"/>
    <w:rsid w:val="0030784F"/>
    <w:rsid w:val="00312846"/>
    <w:rsid w:val="00367870"/>
    <w:rsid w:val="00375E79"/>
    <w:rsid w:val="003A4E85"/>
    <w:rsid w:val="003B3EAA"/>
    <w:rsid w:val="00482D36"/>
    <w:rsid w:val="00490629"/>
    <w:rsid w:val="0049507B"/>
    <w:rsid w:val="004A738F"/>
    <w:rsid w:val="004B1589"/>
    <w:rsid w:val="004B721F"/>
    <w:rsid w:val="004D7065"/>
    <w:rsid w:val="004E0B6C"/>
    <w:rsid w:val="005011E1"/>
    <w:rsid w:val="00505A51"/>
    <w:rsid w:val="0051384E"/>
    <w:rsid w:val="00521603"/>
    <w:rsid w:val="00536012"/>
    <w:rsid w:val="0054657E"/>
    <w:rsid w:val="0059054F"/>
    <w:rsid w:val="00596608"/>
    <w:rsid w:val="005B4139"/>
    <w:rsid w:val="005C13AB"/>
    <w:rsid w:val="00667493"/>
    <w:rsid w:val="006821BC"/>
    <w:rsid w:val="006C017F"/>
    <w:rsid w:val="006E7255"/>
    <w:rsid w:val="007003B2"/>
    <w:rsid w:val="007402A0"/>
    <w:rsid w:val="00762248"/>
    <w:rsid w:val="00787000"/>
    <w:rsid w:val="007A7BA5"/>
    <w:rsid w:val="007B6706"/>
    <w:rsid w:val="007C1FDD"/>
    <w:rsid w:val="007D6292"/>
    <w:rsid w:val="00857D98"/>
    <w:rsid w:val="00894C48"/>
    <w:rsid w:val="00896385"/>
    <w:rsid w:val="008A10DB"/>
    <w:rsid w:val="008B5455"/>
    <w:rsid w:val="009125DD"/>
    <w:rsid w:val="00954CD9"/>
    <w:rsid w:val="009A5EF3"/>
    <w:rsid w:val="009D6904"/>
    <w:rsid w:val="009E1EE8"/>
    <w:rsid w:val="009E227B"/>
    <w:rsid w:val="009E308A"/>
    <w:rsid w:val="009F0536"/>
    <w:rsid w:val="00A147CF"/>
    <w:rsid w:val="00A270BE"/>
    <w:rsid w:val="00A36C1D"/>
    <w:rsid w:val="00A517A0"/>
    <w:rsid w:val="00A62486"/>
    <w:rsid w:val="00AB013A"/>
    <w:rsid w:val="00AD11A5"/>
    <w:rsid w:val="00AE47F5"/>
    <w:rsid w:val="00AF5F33"/>
    <w:rsid w:val="00B27D51"/>
    <w:rsid w:val="00B32BEE"/>
    <w:rsid w:val="00B373AF"/>
    <w:rsid w:val="00B4208A"/>
    <w:rsid w:val="00B57D7A"/>
    <w:rsid w:val="00B76620"/>
    <w:rsid w:val="00B840CE"/>
    <w:rsid w:val="00B96C3D"/>
    <w:rsid w:val="00BD0928"/>
    <w:rsid w:val="00BE5F73"/>
    <w:rsid w:val="00BF4228"/>
    <w:rsid w:val="00C00C65"/>
    <w:rsid w:val="00C07A30"/>
    <w:rsid w:val="00C352FF"/>
    <w:rsid w:val="00C44231"/>
    <w:rsid w:val="00CC6B8B"/>
    <w:rsid w:val="00CD3751"/>
    <w:rsid w:val="00D2051A"/>
    <w:rsid w:val="00D96390"/>
    <w:rsid w:val="00E219E7"/>
    <w:rsid w:val="00E60D6A"/>
    <w:rsid w:val="00E73321"/>
    <w:rsid w:val="00E77EC0"/>
    <w:rsid w:val="00E914C1"/>
    <w:rsid w:val="00E97C37"/>
    <w:rsid w:val="00EE533B"/>
    <w:rsid w:val="00F04882"/>
    <w:rsid w:val="00F63327"/>
    <w:rsid w:val="00F80A29"/>
    <w:rsid w:val="00FA7CA5"/>
    <w:rsid w:val="00FD08EC"/>
    <w:rsid w:val="00FD7690"/>
    <w:rsid w:val="027C5F37"/>
    <w:rsid w:val="029566E8"/>
    <w:rsid w:val="04764545"/>
    <w:rsid w:val="066A5E6B"/>
    <w:rsid w:val="0C0D6561"/>
    <w:rsid w:val="0D5D4987"/>
    <w:rsid w:val="0F451897"/>
    <w:rsid w:val="12361DE2"/>
    <w:rsid w:val="12BA5F6B"/>
    <w:rsid w:val="133857AD"/>
    <w:rsid w:val="14550084"/>
    <w:rsid w:val="16E117D4"/>
    <w:rsid w:val="19D11A20"/>
    <w:rsid w:val="19EE629D"/>
    <w:rsid w:val="1C3F39F0"/>
    <w:rsid w:val="1CB62CC1"/>
    <w:rsid w:val="1D083B8E"/>
    <w:rsid w:val="1D404C36"/>
    <w:rsid w:val="1DA5336F"/>
    <w:rsid w:val="20851FDD"/>
    <w:rsid w:val="236517DD"/>
    <w:rsid w:val="23CE35AD"/>
    <w:rsid w:val="29610143"/>
    <w:rsid w:val="2D086890"/>
    <w:rsid w:val="2D281764"/>
    <w:rsid w:val="31883688"/>
    <w:rsid w:val="38342B4A"/>
    <w:rsid w:val="386F3881"/>
    <w:rsid w:val="392B0587"/>
    <w:rsid w:val="397A164E"/>
    <w:rsid w:val="39985651"/>
    <w:rsid w:val="399A2188"/>
    <w:rsid w:val="3B8E11C8"/>
    <w:rsid w:val="3D6E4111"/>
    <w:rsid w:val="3E2A75C1"/>
    <w:rsid w:val="3EDE115D"/>
    <w:rsid w:val="40437AEB"/>
    <w:rsid w:val="408674A3"/>
    <w:rsid w:val="420B3B6A"/>
    <w:rsid w:val="432B5990"/>
    <w:rsid w:val="43F36274"/>
    <w:rsid w:val="45084FC4"/>
    <w:rsid w:val="46412BD5"/>
    <w:rsid w:val="47414CD5"/>
    <w:rsid w:val="48994C54"/>
    <w:rsid w:val="4AC61F56"/>
    <w:rsid w:val="4B8E0E25"/>
    <w:rsid w:val="4DC8077D"/>
    <w:rsid w:val="4DC83813"/>
    <w:rsid w:val="4E7F6216"/>
    <w:rsid w:val="4E921602"/>
    <w:rsid w:val="4EB8240F"/>
    <w:rsid w:val="4EF9279B"/>
    <w:rsid w:val="50863667"/>
    <w:rsid w:val="53BF3D76"/>
    <w:rsid w:val="55597A96"/>
    <w:rsid w:val="5AB10FC3"/>
    <w:rsid w:val="5CD74D3C"/>
    <w:rsid w:val="5D89331A"/>
    <w:rsid w:val="5EAD3DDD"/>
    <w:rsid w:val="604958CC"/>
    <w:rsid w:val="649557C4"/>
    <w:rsid w:val="64C117BE"/>
    <w:rsid w:val="65D107AB"/>
    <w:rsid w:val="660542E8"/>
    <w:rsid w:val="68DF7066"/>
    <w:rsid w:val="68F81672"/>
    <w:rsid w:val="6AB3417C"/>
    <w:rsid w:val="6B721823"/>
    <w:rsid w:val="6BF92383"/>
    <w:rsid w:val="6CBC4A71"/>
    <w:rsid w:val="6CFA0D76"/>
    <w:rsid w:val="6D345D4B"/>
    <w:rsid w:val="6D520C0D"/>
    <w:rsid w:val="6FF26181"/>
    <w:rsid w:val="739E3CF8"/>
    <w:rsid w:val="73E905EA"/>
    <w:rsid w:val="7A4D005B"/>
    <w:rsid w:val="7BA74B39"/>
    <w:rsid w:val="7DC424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31"/>
    <w:qFormat/>
    <w:uiPriority w:val="0"/>
    <w:pPr>
      <w:keepNext/>
      <w:keepLines/>
      <w:spacing w:before="260" w:after="260" w:line="416" w:lineRule="auto"/>
      <w:outlineLvl w:val="2"/>
    </w:pPr>
    <w:rPr>
      <w:b/>
      <w:bCs/>
      <w:sz w:val="32"/>
      <w:szCs w:val="32"/>
    </w:rPr>
  </w:style>
  <w:style w:type="paragraph" w:styleId="7">
    <w:name w:val="heading 4"/>
    <w:basedOn w:val="1"/>
    <w:next w:val="1"/>
    <w:link w:val="26"/>
    <w:qFormat/>
    <w:uiPriority w:val="0"/>
    <w:pPr>
      <w:keepNext/>
      <w:keepLines/>
      <w:spacing w:before="280" w:after="290" w:line="376" w:lineRule="auto"/>
      <w:outlineLvl w:val="3"/>
    </w:pPr>
    <w:rPr>
      <w:rFonts w:ascii="Cambria" w:hAnsi="Cambria"/>
      <w:b/>
      <w:bCs/>
      <w:sz w:val="28"/>
      <w:szCs w:val="28"/>
    </w:rPr>
  </w:style>
  <w:style w:type="character" w:default="1" w:styleId="23">
    <w:name w:val="Default Paragraph Font"/>
    <w:semiHidden/>
    <w:unhideWhenUsed/>
    <w:uiPriority w:val="1"/>
  </w:style>
  <w:style w:type="table" w:default="1" w:styleId="22">
    <w:name w:val="Normal Table"/>
    <w:semiHidden/>
    <w:unhideWhenUsed/>
    <w:uiPriority w:val="99"/>
    <w:tblPr>
      <w:tblLayout w:type="fixed"/>
      <w:tblCellMar>
        <w:top w:w="0" w:type="dxa"/>
        <w:left w:w="108" w:type="dxa"/>
        <w:bottom w:w="0" w:type="dxa"/>
        <w:right w:w="108" w:type="dxa"/>
      </w:tblCellMar>
    </w:tblPr>
  </w:style>
  <w:style w:type="paragraph" w:styleId="2">
    <w:name w:val="Body Text First Indent 2"/>
    <w:basedOn w:val="3"/>
    <w:next w:val="1"/>
    <w:qFormat/>
    <w:uiPriority w:val="0"/>
    <w:pPr>
      <w:spacing w:after="0" w:line="360" w:lineRule="auto"/>
      <w:ind w:left="0" w:leftChars="0" w:firstLine="420" w:firstLineChars="200"/>
    </w:pPr>
    <w:rPr>
      <w:rFonts w:ascii="Calibri" w:hAnsi="Calibri" w:eastAsia="宋体" w:cs="Times New Roman"/>
      <w:sz w:val="28"/>
      <w:szCs w:val="24"/>
    </w:rPr>
  </w:style>
  <w:style w:type="paragraph" w:styleId="3">
    <w:name w:val="Body Text Indent"/>
    <w:basedOn w:val="1"/>
    <w:next w:val="2"/>
    <w:qFormat/>
    <w:uiPriority w:val="0"/>
    <w:pPr>
      <w:ind w:firstLine="640" w:firstLineChars="200"/>
    </w:pPr>
    <w:rPr>
      <w:rFonts w:hint="eastAsia" w:eastAsia="仿宋_GB2312"/>
      <w:sz w:val="32"/>
    </w:rPr>
  </w:style>
  <w:style w:type="paragraph" w:styleId="8">
    <w:name w:val="toc 7"/>
    <w:basedOn w:val="1"/>
    <w:next w:val="1"/>
    <w:uiPriority w:val="0"/>
    <w:pPr>
      <w:ind w:left="1260"/>
      <w:jc w:val="left"/>
    </w:pPr>
    <w:rPr>
      <w:sz w:val="20"/>
      <w:szCs w:val="20"/>
    </w:rPr>
  </w:style>
  <w:style w:type="paragraph" w:styleId="9">
    <w:name w:val="Document Map"/>
    <w:basedOn w:val="1"/>
    <w:uiPriority w:val="0"/>
    <w:pPr>
      <w:shd w:val="clear" w:color="auto" w:fill="000080"/>
    </w:pPr>
  </w:style>
  <w:style w:type="paragraph" w:styleId="10">
    <w:name w:val="Block Text"/>
    <w:basedOn w:val="1"/>
    <w:qFormat/>
    <w:uiPriority w:val="0"/>
    <w:pPr>
      <w:spacing w:after="120" w:afterLines="0" w:afterAutospacing="0"/>
      <w:ind w:left="1440" w:leftChars="700" w:rightChars="700"/>
    </w:pPr>
  </w:style>
  <w:style w:type="paragraph" w:styleId="11">
    <w:name w:val="toc 5"/>
    <w:basedOn w:val="1"/>
    <w:next w:val="1"/>
    <w:uiPriority w:val="0"/>
    <w:pPr>
      <w:ind w:left="840"/>
      <w:jc w:val="left"/>
    </w:pPr>
    <w:rPr>
      <w:sz w:val="20"/>
      <w:szCs w:val="20"/>
    </w:rPr>
  </w:style>
  <w:style w:type="paragraph" w:styleId="12">
    <w:name w:val="toc 3"/>
    <w:basedOn w:val="1"/>
    <w:next w:val="1"/>
    <w:uiPriority w:val="0"/>
    <w:pPr>
      <w:adjustRightInd w:val="0"/>
      <w:snapToGrid w:val="0"/>
      <w:spacing w:line="360" w:lineRule="auto"/>
      <w:ind w:firstLine="400" w:firstLineChars="400"/>
      <w:jc w:val="left"/>
    </w:pPr>
    <w:rPr>
      <w:sz w:val="24"/>
      <w:szCs w:val="20"/>
    </w:rPr>
  </w:style>
  <w:style w:type="paragraph" w:styleId="13">
    <w:name w:val="toc 8"/>
    <w:basedOn w:val="1"/>
    <w:next w:val="1"/>
    <w:uiPriority w:val="0"/>
    <w:pPr>
      <w:ind w:left="1470"/>
      <w:jc w:val="left"/>
    </w:pPr>
    <w:rPr>
      <w:sz w:val="20"/>
      <w:szCs w:val="20"/>
    </w:rPr>
  </w:style>
  <w:style w:type="paragraph" w:styleId="14">
    <w:name w:val="footer"/>
    <w:basedOn w:val="1"/>
    <w:link w:val="29"/>
    <w:uiPriority w:val="0"/>
    <w:pPr>
      <w:tabs>
        <w:tab w:val="center" w:pos="4153"/>
        <w:tab w:val="right" w:pos="8306"/>
      </w:tabs>
      <w:snapToGrid w:val="0"/>
      <w:jc w:val="left"/>
    </w:pPr>
    <w:rPr>
      <w:sz w:val="18"/>
      <w:szCs w:val="18"/>
    </w:rPr>
  </w:style>
  <w:style w:type="paragraph" w:styleId="1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iPriority w:val="0"/>
    <w:pPr>
      <w:adjustRightInd w:val="0"/>
      <w:snapToGrid w:val="0"/>
      <w:spacing w:line="360" w:lineRule="auto"/>
      <w:jc w:val="left"/>
    </w:pPr>
    <w:rPr>
      <w:b/>
      <w:bCs/>
      <w:sz w:val="24"/>
      <w:szCs w:val="20"/>
    </w:rPr>
  </w:style>
  <w:style w:type="paragraph" w:styleId="17">
    <w:name w:val="toc 4"/>
    <w:basedOn w:val="1"/>
    <w:next w:val="1"/>
    <w:uiPriority w:val="0"/>
    <w:pPr>
      <w:ind w:left="630"/>
      <w:jc w:val="left"/>
    </w:pPr>
    <w:rPr>
      <w:sz w:val="20"/>
      <w:szCs w:val="20"/>
    </w:rPr>
  </w:style>
  <w:style w:type="paragraph" w:styleId="18">
    <w:name w:val="toc 6"/>
    <w:basedOn w:val="1"/>
    <w:next w:val="1"/>
    <w:uiPriority w:val="0"/>
    <w:pPr>
      <w:ind w:left="1050"/>
      <w:jc w:val="left"/>
    </w:pPr>
    <w:rPr>
      <w:sz w:val="20"/>
      <w:szCs w:val="20"/>
    </w:rPr>
  </w:style>
  <w:style w:type="paragraph" w:styleId="19">
    <w:name w:val="toc 2"/>
    <w:basedOn w:val="1"/>
    <w:next w:val="1"/>
    <w:uiPriority w:val="0"/>
    <w:pPr>
      <w:adjustRightInd w:val="0"/>
      <w:snapToGrid w:val="0"/>
      <w:spacing w:line="360" w:lineRule="auto"/>
      <w:ind w:firstLine="200" w:firstLineChars="200"/>
      <w:jc w:val="left"/>
    </w:pPr>
    <w:rPr>
      <w:iCs/>
      <w:sz w:val="24"/>
      <w:szCs w:val="20"/>
    </w:rPr>
  </w:style>
  <w:style w:type="paragraph" w:styleId="20">
    <w:name w:val="toc 9"/>
    <w:basedOn w:val="1"/>
    <w:next w:val="1"/>
    <w:uiPriority w:val="0"/>
    <w:pPr>
      <w:ind w:left="1680"/>
      <w:jc w:val="left"/>
    </w:pPr>
    <w:rPr>
      <w:sz w:val="20"/>
      <w:szCs w:val="20"/>
    </w:rPr>
  </w:style>
  <w:style w:type="paragraph" w:styleId="21">
    <w:name w:val="Normal (Web)"/>
    <w:basedOn w:val="1"/>
    <w:qFormat/>
    <w:uiPriority w:val="0"/>
    <w:pPr>
      <w:spacing w:before="0" w:beforeAutospacing="1" w:after="0" w:afterAutospacing="1"/>
      <w:ind w:left="0" w:right="0"/>
      <w:jc w:val="left"/>
    </w:pPr>
    <w:rPr>
      <w:kern w:val="0"/>
      <w:sz w:val="24"/>
      <w:lang w:val="en-US" w:eastAsia="zh-CN" w:bidi="ar"/>
    </w:rPr>
  </w:style>
  <w:style w:type="character" w:styleId="24">
    <w:name w:val="page number"/>
    <w:basedOn w:val="23"/>
    <w:uiPriority w:val="0"/>
  </w:style>
  <w:style w:type="character" w:styleId="25">
    <w:name w:val="Hyperlink"/>
    <w:basedOn w:val="23"/>
    <w:uiPriority w:val="0"/>
    <w:rPr>
      <w:color w:val="0000FF"/>
      <w:u w:val="single"/>
    </w:rPr>
  </w:style>
  <w:style w:type="character" w:customStyle="1" w:styleId="26">
    <w:name w:val="标题 4 字符"/>
    <w:basedOn w:val="23"/>
    <w:link w:val="7"/>
    <w:uiPriority w:val="0"/>
    <w:rPr>
      <w:rFonts w:ascii="Cambria" w:hAnsi="Cambria"/>
      <w:b/>
      <w:bCs/>
      <w:kern w:val="2"/>
      <w:sz w:val="28"/>
      <w:szCs w:val="28"/>
    </w:rPr>
  </w:style>
  <w:style w:type="paragraph" w:styleId="27">
    <w:name w:val="No Spacing"/>
    <w:link w:val="28"/>
    <w:qFormat/>
    <w:uiPriority w:val="0"/>
    <w:pPr>
      <w:ind w:firstLine="200" w:firstLineChars="200"/>
    </w:pPr>
    <w:rPr>
      <w:rFonts w:ascii="Times New Roman" w:hAnsi="Times New Roman" w:eastAsia="仿宋_GB2312" w:cs="Times New Roman"/>
      <w:sz w:val="30"/>
      <w:szCs w:val="22"/>
      <w:lang w:val="en-US" w:eastAsia="zh-CN" w:bidi="ar-SA"/>
    </w:rPr>
  </w:style>
  <w:style w:type="character" w:customStyle="1" w:styleId="28">
    <w:name w:val="无间隔 字符"/>
    <w:link w:val="27"/>
    <w:locked/>
    <w:uiPriority w:val="0"/>
    <w:rPr>
      <w:rFonts w:eastAsia="仿宋_GB2312"/>
      <w:sz w:val="30"/>
      <w:szCs w:val="22"/>
      <w:lang w:bidi="ar-SA"/>
    </w:rPr>
  </w:style>
  <w:style w:type="character" w:customStyle="1" w:styleId="29">
    <w:name w:val="页脚 字符"/>
    <w:basedOn w:val="23"/>
    <w:link w:val="14"/>
    <w:uiPriority w:val="0"/>
    <w:rPr>
      <w:kern w:val="2"/>
      <w:sz w:val="18"/>
      <w:szCs w:val="18"/>
    </w:rPr>
  </w:style>
  <w:style w:type="paragraph" w:styleId="30">
    <w:name w:val="List Paragraph"/>
    <w:basedOn w:val="1"/>
    <w:qFormat/>
    <w:uiPriority w:val="0"/>
    <w:pPr>
      <w:ind w:firstLine="420" w:firstLineChars="200"/>
    </w:pPr>
  </w:style>
  <w:style w:type="character" w:customStyle="1" w:styleId="31">
    <w:name w:val="标题 3 字符"/>
    <w:basedOn w:val="23"/>
    <w:link w:val="6"/>
    <w:uiPriority w:val="0"/>
    <w:rPr>
      <w:b/>
      <w:bCs/>
      <w:kern w:val="2"/>
      <w:sz w:val="32"/>
      <w:szCs w:val="32"/>
    </w:rPr>
  </w:style>
  <w:style w:type="paragraph" w:customStyle="1" w:styleId="32">
    <w:name w:val="BodyText"/>
    <w:basedOn w:val="1"/>
    <w:qFormat/>
    <w:uiPriority w:val="0"/>
    <w:pPr>
      <w:spacing w:after="120"/>
      <w:textAlignment w:val="baseline"/>
    </w:pPr>
  </w:style>
  <w:style w:type="paragraph" w:customStyle="1" w:styleId="33">
    <w:name w:val="p0"/>
    <w:basedOn w:val="1"/>
    <w:qFormat/>
    <w:uiPriority w:val="0"/>
    <w:pPr>
      <w:widowControl/>
    </w:pPr>
    <w:rPr>
      <w:rFonts w:ascii="Calibri" w:hAnsi="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40644;&#32418;&#29748;\Desktop\&#20915;&#31639;\1--&#31185;&#2101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40644;&#32418;&#29748;\Desktop\&#20915;&#31639;\1--&#31185;&#21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t>收入决算图</a:t>
            </a:r>
          </a:p>
        </c:rich>
      </c:tx>
      <c:layout/>
      <c:overlay val="0"/>
      <c:spPr>
        <a:noFill/>
        <a:ln>
          <a:noFill/>
        </a:ln>
        <a:effectLst/>
      </c:spPr>
    </c:title>
    <c:autoTitleDeleted val="0"/>
    <c:plotArea>
      <c:layout/>
      <c:pieChart>
        <c:varyColors val="1"/>
        <c:ser>
          <c:idx val="0"/>
          <c:order val="0"/>
          <c:spPr>
            <a:effectLst/>
            <a:sp3d contourW="12700"/>
          </c:spPr>
          <c:explosion val="3"/>
          <c:dPt>
            <c:idx val="0"/>
            <c:bubble3D val="0"/>
            <c:spPr>
              <a:solidFill>
                <a:schemeClr val="accent6"/>
              </a:solidFill>
              <a:ln w="19050">
                <a:solidFill>
                  <a:schemeClr val="lt1"/>
                </a:solidFill>
              </a:ln>
              <a:effectLst/>
              <a:sp3d contourW="12700"/>
            </c:spPr>
          </c:dPt>
          <c:dLbls>
            <c:dLbl>
              <c:idx val="0"/>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1"/>
              <c:showVal val="0"/>
              <c:showCatName val="0"/>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1"/>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'[1--科创.xlsx]Sheet4'!$A$2</c:f>
              <c:strCache>
                <c:ptCount val="1"/>
                <c:pt idx="0">
                  <c:v> 本年一般公共预算财政拨款收入</c:v>
                </c:pt>
              </c:strCache>
            </c:strRef>
          </c:cat>
          <c:val>
            <c:numRef>
              <c:f>'[1--科创.xlsx]Sheet4'!$B$2</c:f>
              <c:numCache>
                <c:formatCode>General</c:formatCode>
                <c:ptCount val="1"/>
                <c:pt idx="0">
                  <c:v>399.53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forceAA="0"/>
          <a:lstStyle/>
          <a:p>
            <a:pPr>
              <a:defRPr lang="zh-CN" sz="1400" b="0" i="0" u="none" strike="noStrike" kern="1200" spc="0" baseline="0">
                <a:solidFill>
                  <a:schemeClr val="tx1"/>
                </a:solidFill>
                <a:latin typeface="+mn-lt"/>
                <a:ea typeface="+mn-ea"/>
                <a:cs typeface="+mn-cs"/>
              </a:defRPr>
            </a:pPr>
            <a:r>
              <a:t>支出决算图</a:t>
            </a:r>
          </a:p>
        </c:rich>
      </c:tx>
      <c:layout/>
      <c:overlay val="0"/>
      <c:spPr>
        <a:noFill/>
        <a:ln>
          <a:noFill/>
        </a:ln>
        <a:effectLst/>
      </c:spPr>
    </c:title>
    <c:autoTitleDeleted val="0"/>
    <c:plotArea>
      <c:layout/>
      <c:pieChart>
        <c:varyColors val="1"/>
        <c:ser>
          <c:idx val="0"/>
          <c:order val="0"/>
          <c:spPr>
            <a:effectLst/>
            <a:sp3d contourW="12700"/>
          </c:spPr>
          <c:explosion val="3"/>
          <c:dPt>
            <c:idx val="0"/>
            <c:bubble3D val="0"/>
            <c:spPr>
              <a:solidFill>
                <a:schemeClr val="accent2">
                  <a:shade val="76667"/>
                </a:schemeClr>
              </a:solidFill>
              <a:ln w="19050">
                <a:solidFill>
                  <a:schemeClr val="lt1"/>
                </a:solidFill>
              </a:ln>
              <a:effectLst/>
              <a:sp3d contourW="12700"/>
            </c:spPr>
          </c:dPt>
          <c:dPt>
            <c:idx val="1"/>
            <c:bubble3D val="0"/>
            <c:spPr>
              <a:solidFill>
                <a:schemeClr val="accent2">
                  <a:tint val="76667"/>
                </a:schemeClr>
              </a:solidFill>
              <a:ln w="19050">
                <a:solidFill>
                  <a:schemeClr val="lt1"/>
                </a:solidFill>
              </a:ln>
              <a:effectLst/>
              <a:sp3d contourW="12700"/>
            </c:spPr>
          </c:dPt>
          <c:dLbls>
            <c:dLbl>
              <c:idx val="0"/>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1"/>
              <c:showVal val="0"/>
              <c:showCatName val="0"/>
              <c:showSerName val="0"/>
              <c:showPercent val="1"/>
              <c:showBubbleSize val="0"/>
              <c:separator>
</c:separator>
              <c:extLst>
                <c:ext xmlns:c15="http://schemas.microsoft.com/office/drawing/2012/chart" uri="{CE6537A1-D6FC-4f65-9D91-7224C49458BB}"/>
              </c:extLst>
            </c:dLbl>
            <c:dLbl>
              <c:idx val="1"/>
              <c:layout>
                <c:manualLayout>
                  <c:x val="-0.0197368421052632"/>
                  <c:y val="0.0104166666666667"/>
                </c:manualLayout>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bestFit"/>
              <c:showLegendKey val="1"/>
              <c:showVal val="0"/>
              <c:showCatName val="0"/>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1"/>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'[1--科创.xlsx]Sheet4 (2)'!$A$2:$A$3</c:f>
              <c:strCache>
                <c:ptCount val="2"/>
                <c:pt idx="0">
                  <c:v>本年基本支出</c:v>
                </c:pt>
                <c:pt idx="1">
                  <c:v>本年项目支出</c:v>
                </c:pt>
              </c:strCache>
            </c:strRef>
          </c:cat>
          <c:val>
            <c:numRef>
              <c:f>'[1--科创.xlsx]Sheet4 (2)'!$B$2:$B$3</c:f>
              <c:numCache>
                <c:formatCode>General</c:formatCode>
                <c:ptCount val="2"/>
                <c:pt idx="0">
                  <c:v>327.76</c:v>
                </c:pt>
                <c:pt idx="1">
                  <c:v>71.79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7559B6-2DC7-41B5-818F-6E7F243775C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Pages>
  <Words>22</Words>
  <Characters>130</Characters>
  <Lines>1</Lines>
  <Paragraphs>1</Paragraphs>
  <TotalTime>8</TotalTime>
  <ScaleCrop>false</ScaleCrop>
  <LinksUpToDate>false</LinksUpToDate>
  <CharactersWithSpaces>151</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2022-03-23T12:40:00Z</dcterms:created>
  <dc:creator>Administrator</dc:creator>
  <cp:lastModifiedBy>黄红琴</cp:lastModifiedBy>
  <cp:lastPrinted>2021-04-16T00:45:00Z</cp:lastPrinted>
  <dcterms:modified xsi:type="dcterms:W3CDTF">2024-11-07T02:58:11Z</dcterms:modified>
  <dc:title>××年度××部门/单位</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